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0"/>
          <w:szCs w:val="40"/>
        </w:rPr>
      </w:pPr>
      <w:bookmarkStart w:id="0" w:name="_GoBack"/>
      <w:r>
        <w:rPr>
          <w:rFonts w:hint="eastAsia" w:ascii="方正小标宋_GBK" w:hAnsi="方正小标宋_GBK" w:eastAsia="方正小标宋_GBK" w:cs="方正小标宋_GBK"/>
          <w:sz w:val="40"/>
          <w:szCs w:val="40"/>
        </w:rPr>
        <w:t>临时性建筑物搭建、堆放物料、占道施工审批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（延续）</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【00011714000302】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临时性建筑物搭建、堆放物料、占道施工审批【00011714000Y】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临时性建筑物搭建、堆放物料、占道施工审批（县级权限）【000117140003】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w:t>
      </w:r>
      <w:r>
        <w:rPr>
          <w:rFonts w:hint="eastAsia" w:ascii="Times New Roman" w:hAnsi="Times New Roman" w:eastAsia="仿宋GB2312"/>
          <w:b/>
          <w:bCs/>
          <w:sz w:val="28"/>
          <w:szCs w:val="28"/>
          <w:shd w:val="clear" w:fill="FFFFFF"/>
        </w:rPr>
        <w:t>理</w:t>
      </w:r>
      <w:r>
        <w:rPr>
          <w:rFonts w:hint="eastAsia" w:ascii="Times New Roman" w:hAnsi="Times New Roman" w:eastAsia="仿宋GB2312"/>
          <w:b/>
          <w:bCs/>
          <w:sz w:val="28"/>
          <w:szCs w:val="28"/>
        </w:rPr>
        <w:t>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临时性建筑物搭建、堆放物料、占道施工审批（县级权限）（延续</w:t>
      </w:r>
      <w:r>
        <w:rPr>
          <w:rFonts w:hint="eastAsia" w:ascii="方正仿宋_GBK" w:hAnsi="方正仿宋_GBK" w:eastAsia="方正仿宋_GBK" w:cs="方正仿宋_GBK"/>
          <w:sz w:val="28"/>
          <w:szCs w:val="28"/>
          <w:shd w:val="clear" w:fill="FFFFFF"/>
        </w:rPr>
        <w:t>）(</w:t>
      </w:r>
      <w:r>
        <w:rPr>
          <w:rFonts w:hint="eastAsia" w:ascii="方正仿宋_GBK" w:hAnsi="方正仿宋_GBK" w:eastAsia="方正仿宋_GBK" w:cs="方正仿宋_GBK"/>
          <w:sz w:val="28"/>
          <w:szCs w:val="28"/>
        </w:rPr>
        <w:t>00011714000302)</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（1）《城市市容和环境卫生管理条例》第十四条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（1）《城市市容和环境卫生管理条例》第十四条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（2）《城市市容和环境卫生管理条例》第三十六条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（1）《城市市容和环境卫生管理条例》第十四条</w:t>
      </w:r>
    </w:p>
    <w:p>
      <w:pPr>
        <w:spacing w:line="600" w:lineRule="exact"/>
        <w:ind w:firstLine="562" w:firstLineChars="200"/>
        <w:rPr>
          <w:rFonts w:hint="eastAsia" w:ascii="Times New Roman" w:hAnsi="Times New Roman" w:eastAsia="仿宋GB2312"/>
          <w:b/>
          <w:bCs/>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富源</w:t>
      </w:r>
      <w:r>
        <w:rPr>
          <w:rFonts w:hint="eastAsia" w:ascii="方正仿宋_GBK" w:hAnsi="方正仿宋_GBK" w:eastAsia="方正仿宋_GBK" w:cs="方正仿宋_GBK"/>
          <w:b w:val="0"/>
          <w:bCs w:val="0"/>
          <w:sz w:val="28"/>
          <w:szCs w:val="28"/>
          <w:lang w:eastAsia="zh-CN"/>
        </w:rPr>
        <w:t>县</w:t>
      </w:r>
      <w:r>
        <w:rPr>
          <w:rFonts w:hint="eastAsia" w:ascii="Times New Roman" w:hAnsi="Times New Roman" w:eastAsia="仿宋GB2312"/>
          <w:b w:val="0"/>
          <w:bCs w:val="0"/>
          <w:sz w:val="28"/>
          <w:szCs w:val="28"/>
          <w:lang w:eastAsia="zh-CN"/>
        </w:rPr>
        <w:t>行政审批局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临时性建筑物搭建、堆放物料、占道施工审批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符合《城市容貌标准》4.0.2条，城市道路在进行新建、扩建、改建、养护、维修等施工作业时，在施工现场设置明显标志和安全防围设施，施工完毕后及时平整现场，恢复路面、拆除</w:t>
      </w:r>
      <w:r>
        <w:rPr>
          <w:rFonts w:ascii="方正仿宋_GBK" w:hAnsi="方正仿宋_GBK" w:eastAsia="方正仿宋_GBK" w:cs="方正仿宋_GBK"/>
          <w:sz w:val="28"/>
          <w:szCs w:val="28"/>
          <w:shd w:val="clear" w:fill="FFFFFF"/>
        </w:rPr>
        <w:t>防围</w:t>
      </w:r>
      <w:r>
        <w:rPr>
          <w:rFonts w:ascii="方正仿宋_GBK" w:hAnsi="方正仿宋_GBK" w:eastAsia="方正仿宋_GBK" w:cs="方正仿宋_GBK"/>
          <w:sz w:val="28"/>
          <w:szCs w:val="28"/>
        </w:rPr>
        <w:t>措施，保持周围市容环境卫生、整洁，不存在安全隐患；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不得影响市政道路、城市桥梁、城市照明、供排水、燃气等市政公用设施及其附属设施的正常运行和日常维护工作；</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不得损坏上述市政道路、城市桥梁以及市政公用设施及其附属设施；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符合《城市市容和环境卫生管理条例》第十六条，城市的工程施工现场的材料、机具应当堆放整齐，渣土应当及时清运；临街工地应当设置护栏或者围布遮挡；停工场地应当及时整理并作必要的覆盖；竣工后，应当及时清理和平整场地。</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shd w:val="clear" w:fill="FFFFFF"/>
        </w:rPr>
      </w:pPr>
      <w:r>
        <w:rPr>
          <w:rFonts w:ascii="方正仿宋_GBK" w:hAnsi="方正仿宋_GBK" w:eastAsia="方正仿宋_GBK" w:cs="方正仿宋_GBK"/>
          <w:sz w:val="28"/>
          <w:szCs w:val="28"/>
        </w:rPr>
        <w:t>（1）《城市市容和环境卫生管理条例》</w:t>
      </w:r>
      <w:r>
        <w:rPr>
          <w:rFonts w:ascii="方正仿宋_GBK" w:hAnsi="方正仿宋_GBK" w:eastAsia="方正仿宋_GBK" w:cs="方正仿宋_GBK"/>
          <w:sz w:val="28"/>
          <w:szCs w:val="28"/>
          <w:shd w:val="clear" w:fill="FFFFFF"/>
        </w:rPr>
        <w:t>第十四条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shd w:val="clear" w:fill="FFFFFF"/>
        </w:rPr>
        <w:t>第十四条</w:t>
      </w:r>
      <w:r>
        <w:rPr>
          <w:rFonts w:ascii="方正仿宋_GBK" w:hAnsi="方正仿宋_GBK" w:eastAsia="方正仿宋_GBK" w:cs="方正仿宋_GBK"/>
          <w:sz w:val="28"/>
          <w:szCs w:val="28"/>
        </w:rPr>
        <w:t>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（2）《城市容貌标准》4.0.6严禁擅自占道加工、经营、堆放及搭建等。</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（3）《城市容貌标准》4.0.2城市道路在进行新建、扩建、改建、养护、维修等施工作业时，在施工现场设置明显标志和安全防围设施，施工完毕后及时平整现场，恢复路面、拆除</w:t>
      </w:r>
      <w:r>
        <w:rPr>
          <w:rFonts w:ascii="方正仿宋_GBK" w:hAnsi="方正仿宋_GBK" w:eastAsia="方正仿宋_GBK" w:cs="方正仿宋_GBK"/>
          <w:sz w:val="28"/>
          <w:szCs w:val="28"/>
          <w:shd w:val="clear" w:fill="FFFFFF"/>
        </w:rPr>
        <w:t>防围</w:t>
      </w:r>
      <w:r>
        <w:rPr>
          <w:rFonts w:ascii="方正仿宋_GBK" w:hAnsi="方正仿宋_GBK" w:eastAsia="方正仿宋_GBK" w:cs="方正仿宋_GBK"/>
          <w:sz w:val="28"/>
          <w:szCs w:val="28"/>
        </w:rPr>
        <w:t>措施，保持周围市容环境卫生、整洁，</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企业法人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事业单位法人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社会组织法人</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非法人企业</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行政机关</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在国家审批时限压减至5个工作日基础上，进一步将承诺审批时限压减至1个工作日。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1.开展“双随机、一公开”监管，加强现场核查。对可能存在公共安全隐患、影响市政道路、城市桥梁、城市照明、供排水、燃气等市政公用设施及其附属设施的正常运行的重点进行抽查。2</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加强行政执法，对违反《城市市容和环境卫生管理条例》等有关法律规定的，依法严肃查处。3</w:t>
      </w:r>
      <w:r>
        <w:rPr>
          <w:rFonts w:ascii="方正仿宋_GBK" w:hAnsi="方正仿宋_GBK" w:eastAsia="方正仿宋_GBK" w:cs="方正仿宋_GBK"/>
          <w:sz w:val="28"/>
          <w:szCs w:val="28"/>
          <w:shd w:val="clear" w:fill="FFFFFF"/>
        </w:rPr>
        <w:t>.</w:t>
      </w:r>
      <w:r>
        <w:rPr>
          <w:rFonts w:ascii="方正仿宋_GBK" w:hAnsi="方正仿宋_GBK" w:eastAsia="方正仿宋_GBK" w:cs="方正仿宋_GBK"/>
          <w:sz w:val="28"/>
          <w:szCs w:val="28"/>
        </w:rPr>
        <w:t>加强信用监管，依法依规对失信主体开展失信惩戒。</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申请人身份证明材料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申请人单位证照材料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堆放、搭建位置示意图</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申请延续说明和承诺书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占用场地权属/管理单位的批准材料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（1）各地市容环境卫生主管部门印发的通知、办法等。各地市容环境卫生主管部门印发的通知、办法等。</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审批机构受理/不予受理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审批机构审查（书面或现场勘验视情况确定）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现场勘验（各地根据情况选择性开展）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向社会公示（各地根据情况选择性开展）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做出准予/不准予行政许可的书面决定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《中华人民共和国行政许可法》第四章行政许可的实施程序</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第一节申请与受理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    第三十条行政机关应当将</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    行政机关及其工作人员不得以转让技术作为取得行政许可的条件；不得在实施行政许可的过程中，直接或者间接地要求转让技术。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第二节审查与决定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    第四十条行政机关作出的准予行政许可决定，应当予以公开，公众有权查阅。</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    第四十一条法律、行政法规设定的行政许可，其适用范围没有地域限制的，申请人取得的行政许可在全国范围内有效。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第三节期限</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    第四十三条依法应当先经下级行政机关审查后报上级行政机关决定的行政许可，下级行政机关应当自其受理行政许可申请之日起二十日内审查完毕。但是，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    第四十四条行政机关作出准予行政许可的决定，应当自作出决定之日起十日内向申请人颁发、送达行政许可证件，或者加贴标签、加盖检验、检测、检疫印章。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    第四十五条行政机关作出行政许可决定，依法需要听证、招标、拍卖、检验、检测、检疫、鉴定和专家评审的，所需时间不计算在本节规定的期限内。行政机关应当将所需时间书面告知申请人。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第四节听证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    第四十六条</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、规章规定实施行政许可应当听证的事项，或者行政机关认为需要听证的其他涉及公共利益的重大行政许可事项，行政机关应当向社会公告，并举行听证。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七条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    申请人、利害关系人不承担行政机关组织听证的费用。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    第四十八条听证按照下列程序进行：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    （一）行政机关应当于举行听证的七日前将举行听证的时间、地点通知申请人、利害关系人，必要时予以公告；</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    （二）听证应当公开举行；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    （三）行政机关应当指定审查该行政许可申请的工作人员以外的人员为听证主持人，申请人、利害关系人认为主持人与该行政许可事项有直接利害关系的，有权申请回避；</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    （四）举行听证时，审查该行政许可申请的工作人员应当提供审查意见的证据、理由，申请人、利害关系人可以提出证据，并进行申辩和质证；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    （五）听证应当制作笔录，听证笔录应当交听证参加人确认无误后签字或者盖章。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    行政机关应当根据听证笔录，作出行政许可决定。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第五节变更与延续</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    第四十九条被许可人要求变更行政许可事项的，应当向作出行政许可决定的行政机关提出申请；符合法定条件、标准的，行政机关应当依法办理变更手续。</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    第五十条被许可人需要延续依法取得的行政许可的有效期的，应当在该行政许可有效期届满三十日前向作出行政许可决定的行政机关提出申请。但是，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、规章另有规定的，依照其规定。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    行政机关应当根据被许可人的申请，在该行政许可有效期届满前作出是否准予延续的决定；逾期未作决定的，视为准予延续。</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第六节特别规定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    第五十一条实施行政许可的程序，本节有规定的，适用本节规定；本节没有规定的，适用本章其他有关规定。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    第五十二条国务院实施行政许可的程序，适用有关法律、行政法规的规定。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    第五十三条实施本法第十二条第二项所列事项的行政许可的，行政机关应当通过招标、拍卖等公平竞争的方式作出决定。但是，法律、行政法规另有规定的，依照其规定。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    行政机关通过招标、拍卖等方式作出行政许可决定的具体程序，依照有关法律、行政法规的规定。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    行政机关按照招标、拍卖程序确定中标人、买受人后，应当作出准予行政许可的决定，并依法向中标人、买受人颁发行政许可证件。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    行政机关违反本条规定，不采用招标、拍卖方式，或者违反招标、拍卖程序，损害申请人合法权益的，申请人可以依法申请行政复议或者提起行政诉讼。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五十四条实施本法第十二条第三项所列事项的行政许可，赋予公民特定资格，依法应当举行国家考试的，行政机关根据考试成绩和其他法定条件作出行政许可决定；赋予法人或者其他组织特定的资格、资质的，行政机关根据申请人的专业人员构成、技术条件、经营业绩和管理水平等的考核结果作出行政许可决定。但是，法律、行政法规另有规定的，依照其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公民特定资格的考试依法由行政机关或者行业组织实施，公开举行。行政机关或者行业组织应当事先公布资格考试的报名条件、报考办法、考试科目以及考试大纲。但是，不得组织强制性的资格考试的考前培训，不得指定教材或者其他助考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    第五十五条实施本法第十二条第四项所列事项的行政许可的，应当按照技术标准、技术规范依法进行检验、检测、检疫，行政机关根据检验、检测、检疫的结果作出行政许可决定。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    行政机关实施检验、检测、检疫，应当自受理申请之日起五日内指派两名以上工作人员按照技术标准、技术规范进行检验、检测、检疫。不需要对检验、检测、检疫结果</w:t>
      </w:r>
      <w:r>
        <w:rPr>
          <w:rFonts w:hint="eastAsia" w:ascii="方正仿宋_GBK" w:hAnsi="方正仿宋_GBK" w:eastAsia="方正仿宋_GBK" w:cs="方正仿宋_GBK"/>
          <w:sz w:val="28"/>
          <w:szCs w:val="28"/>
          <w:lang w:eastAsia="zh-CN"/>
        </w:rPr>
        <w:t>做</w:t>
      </w:r>
      <w:r>
        <w:rPr>
          <w:rFonts w:ascii="方正仿宋_GBK" w:hAnsi="方正仿宋_GBK" w:eastAsia="方正仿宋_GBK" w:cs="方正仿宋_GBK"/>
          <w:sz w:val="28"/>
          <w:szCs w:val="28"/>
        </w:rPr>
        <w:t>进一步技术分析即可认定设备、设施、产品、物品是否符合技术标准、技术规范的，行政机关应当当场作出行政许可决定。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    行政机关根据检验、检测、检疫结果，作出不予行政许可决定的，应当书面说明不予行政许可所依据的技术标准、技术规范。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五十六条实施本法第十二条第五项所列事项的行政许可，申请人提交的申请材料齐全、符合法定形式的，行政机关应当当场予以登记。需要对申请材料的实质内容进行核实的，行政机关依照本法第三十四条第三款的规定办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五十七条有数量限制的行政许可，两个或者两个以上申请人的申请均符合法定条件、标准的，行政机关应当根据受理行政许可申请的先后顺序作出准予行政许可的决定。但是，法律、行政法规另有规定的，依照其规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2个工作日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_GBK" w:hAnsi="方正仿宋_GBK" w:eastAsia="方正仿宋_GBK" w:cs="方正仿宋_GBK"/>
          <w:sz w:val="28"/>
          <w:szCs w:val="28"/>
          <w:shd w:val="clear" w:fill="FFFFFF"/>
          <w:lang w:eastAsia="zh-CN"/>
        </w:rPr>
        <w:t>法律法规</w:t>
      </w:r>
      <w:r>
        <w:rPr>
          <w:rFonts w:ascii="方正仿宋_GBK" w:hAnsi="方正仿宋_GBK" w:eastAsia="方正仿宋_GBK" w:cs="方正仿宋_GBK"/>
          <w:sz w:val="28"/>
          <w:szCs w:val="28"/>
        </w:rPr>
        <w:t>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行政许可决定书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（1）各地市容环境卫生主管部门印发的通知、办法等各地市容环境卫生主管部门印发的通知、办法等</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提交延续申请，经审批机构审查同意后办理</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（1）各地市容环境卫生主管部门印发的通知、办法等。各地市容环境卫生主管部门印发的通知、办法等。</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富源县城市综合管理局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NjMyYzI5ZGE0NDQxZDZlOTU3MmY3YjFhZGIyOGEifQ=="/>
  </w:docVars>
  <w:rsids>
    <w:rsidRoot w:val="17367825"/>
    <w:rsid w:val="0BCB7D33"/>
    <w:rsid w:val="17367825"/>
    <w:rsid w:val="43A320BA"/>
    <w:rsid w:val="5A1A5806"/>
    <w:rsid w:val="657F0305"/>
    <w:rsid w:val="65EB7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曲靖市富源县党政机关单位</Company>
  <Pages>1</Pages>
  <Words>0</Words>
  <Characters>0</Characters>
  <Lines>0</Lines>
  <Paragraphs>0</Paragraphs>
  <TotalTime>8</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2024-02-26T08:31:00Z</dcterms:created>
  <dc:creator>渐行渐远</dc:creator>
  <cp:lastModifiedBy>Administrator</cp:lastModifiedBy>
  <dcterms:modified xsi:type="dcterms:W3CDTF">2024-03-13T12:17:48Z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B582B3E98C9644FCBD84E9F56CE1B40B</vt:lpwstr>
  </property>
  <property fmtid="{D5CDD505-2E9C-101B-9397-08002B2CF9AE}" pid="4" name="hmcheck_markmode">
    <vt:i4>0</vt:i4>
  </property>
</Properties>
</file>