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特殊车辆在城市道路上行驶审批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【00011713000302】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特殊车辆在城市道路上行驶审批【00011713000Y】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特殊车辆在城市道路上行驶审批（县级权限）【000117130003】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特殊车辆在城市道路上行驶审批（县级权限）首次申请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00011713000302)</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（1）《城市道路管理条例》第二十八条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（1）《城市道路管理条例》第二十八条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（2）《云南省人民政府关于调整112项涉及州级及以下行政权力事项的决定》（云政发〔2020〕21号）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（1）《城市道路管理条例》第二十七条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特殊车辆在城市道路上行驶（包括经过城市桥梁）审批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因城市建设发展或其他特殊事项需要；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运输物品不可拆解；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必须遵守限载、限速、限高的规定；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具备公安交通管理部门认可的指定时间、路线；</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有市政设施防护方案；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城市道路管理条例</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第二十八条履带车、铁轮车或者超重、超高、超长车辆需要在城市道路上行驶的，事先须征得市政工程行政主管部门同意，并按照公安交通管理部门指定的时间、路线行驶。</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2.不再要求申请人提供人员社保证明、资质资格证书等材料。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1.完善监管机制，制定检查监督方案。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2.压实特殊车辆安全生产责任，引导特殊车辆源头单位安装称重检测及视频监控等设备，并联网运行，对出场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站)特殊车辆进行检测，坚决杜绝未经许可或车证不符的特殊车辆上路行驶。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3.加强现场核查，严格落实有关规定要求，对可能影响城市道路完好、安全、畅通</w:t>
      </w:r>
      <w:bookmarkStart w:id="0" w:name="_GoBack"/>
      <w:r>
        <w:rPr>
          <w:rFonts w:ascii="方正仿宋_GBK" w:hAnsi="方正仿宋_GBK" w:eastAsia="方正仿宋_GBK" w:cs="方正仿宋_GBK"/>
          <w:sz w:val="28"/>
          <w:szCs w:val="28"/>
        </w:rPr>
        <w:t>的</w:t>
      </w:r>
      <w:bookmarkEnd w:id="0"/>
      <w:r>
        <w:rPr>
          <w:rFonts w:ascii="方正仿宋_GBK" w:hAnsi="方正仿宋_GBK" w:eastAsia="方正仿宋_GBK" w:cs="方正仿宋_GBK"/>
          <w:sz w:val="28"/>
          <w:szCs w:val="28"/>
        </w:rPr>
        <w:t>情形，要加大抽查力度</w:t>
      </w:r>
      <w:r>
        <w:rPr>
          <w:rFonts w:hint="eastAsia" w:ascii="方正仿宋_GBK" w:hAnsi="方正仿宋_GBK" w:eastAsia="方正仿宋_GBK" w:cs="方正仿宋_GBK"/>
          <w:sz w:val="28"/>
          <w:szCs w:val="28"/>
          <w:shd w:val="clear" w:fill="FFFFFF"/>
          <w:lang w:eastAsia="zh-CN"/>
        </w:rPr>
        <w:t>；</w:t>
      </w:r>
      <w:r>
        <w:rPr>
          <w:rFonts w:ascii="方正仿宋_GBK" w:hAnsi="方正仿宋_GBK" w:eastAsia="方正仿宋_GBK" w:cs="方正仿宋_GBK"/>
          <w:sz w:val="28"/>
          <w:szCs w:val="28"/>
        </w:rPr>
        <w:t>对申请的特殊车辆接近</w:t>
      </w:r>
      <w:r>
        <w:rPr>
          <w:rFonts w:ascii="方正仿宋_GBK" w:hAnsi="方正仿宋_GBK" w:eastAsia="方正仿宋_GBK" w:cs="方正仿宋_GBK"/>
          <w:sz w:val="28"/>
          <w:szCs w:val="28"/>
          <w:shd w:val="clear" w:fill="FFFFFF"/>
        </w:rPr>
        <w:t>跨类</w:t>
      </w:r>
      <w:r>
        <w:rPr>
          <w:rFonts w:ascii="方正仿宋_GBK" w:hAnsi="方正仿宋_GBK" w:eastAsia="方正仿宋_GBK" w:cs="方正仿宋_GBK"/>
          <w:sz w:val="28"/>
          <w:szCs w:val="28"/>
        </w:rPr>
        <w:t>临界值的，要重点抽查，对核查或抽查中发现与申请不符的，按隐瞒有关情况或者提供虚假材料申请许可，予以严肃处理。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4强化特殊车辆动态监管，指导执法机构利用北斗定位、ETC门</w:t>
      </w:r>
      <w:r>
        <w:rPr>
          <w:rFonts w:ascii="方正仿宋_GBK" w:hAnsi="方正仿宋_GBK" w:eastAsia="方正仿宋_GBK" w:cs="方正仿宋_GBK"/>
          <w:sz w:val="28"/>
          <w:szCs w:val="28"/>
          <w:shd w:val="clear" w:fill="FFFFFF"/>
        </w:rPr>
        <w:t>架</w:t>
      </w:r>
      <w:r>
        <w:rPr>
          <w:rFonts w:ascii="方正仿宋_GBK" w:hAnsi="方正仿宋_GBK" w:eastAsia="方正仿宋_GBK" w:cs="方正仿宋_GBK"/>
          <w:sz w:val="28"/>
          <w:szCs w:val="28"/>
        </w:rPr>
        <w:t>信息等数据，及时发现车辆不按许可路线行驶问题；加强途中检查，发现违法情形的，依法严肃查处；建立跨区域联动监管机制，解决区域间信息不共享、出现问题相互推诿的问题。</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严格特殊车辆通行数据分析比对，利用现有大数据资源，开展特殊车辆行驶轨迹分析比对，提高虚假填报、车证不符、不按许可路线行驶等违法情形的发现能力。探索特殊车辆企业信用风险分类管理，建立特殊车辆企业信用积分规则，进行信用评价，提高企业失信违法成本，引导诚信办证、规范行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特殊车辆在城市道路上行驶许可申请书。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申请人身份证明（申请人是自然人的，应当提供本人有效身份证明，申请人是法人或其他组织的，需提供企业法人营业执照或组织机构代码证）。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车辆驾驶证、行驶证证明文件。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公安交警部门证明文件（经公安交通管理部门批准的车辆经过城市道路</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城市桥梁）行驶方案，</w:t>
      </w:r>
      <w:r>
        <w:rPr>
          <w:rFonts w:hint="eastAsia" w:ascii="方正仿宋_GBK" w:hAnsi="方正仿宋_GBK" w:eastAsia="方正仿宋_GBK" w:cs="方正仿宋_GBK"/>
          <w:sz w:val="28"/>
          <w:szCs w:val="28"/>
          <w:shd w:val="clear" w:fill="FFFFFF"/>
          <w:lang w:eastAsia="zh-CN"/>
        </w:rPr>
        <w:t>包括</w:t>
      </w:r>
      <w:r>
        <w:rPr>
          <w:rFonts w:hint="eastAsia" w:ascii="方正仿宋_GBK" w:hAnsi="方正仿宋_GBK" w:eastAsia="方正仿宋_GBK" w:cs="方正仿宋_GBK"/>
          <w:sz w:val="28"/>
          <w:szCs w:val="28"/>
        </w:rPr>
        <w:t>通行时间示意图、行车路线</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所经过城市道路、桥梁的保护措施方案。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特殊车辆经过城市桥梁的，还应提交由第三方单位的安全检测与评估报告或桥梁原设计单位出具的技术安全意见、桥梁专家的审查意见和事故预警和应急加固方案。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城市道路管理条例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第二十八条履带车、铁轮车或者超重、超高、超长车辆需要在城市道路上行驶的，事先须征得市政工程行政主管部门同意，并按照公安交通管理部门指定的时间、路线行驶。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专家评审；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决定核发许可决定书/不予核发许可决定书。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shd w:val="clear" w:fill="FFAFAA"/>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w:t>
      </w:r>
      <w:r>
        <w:rPr>
          <w:rFonts w:ascii="方正仿宋_GBK" w:hAnsi="方正仿宋_GBK" w:eastAsia="方正仿宋_GBK" w:cs="方正仿宋_GBK"/>
          <w:sz w:val="28"/>
          <w:szCs w:val="28"/>
          <w:shd w:val="clear" w:fill="FFFFFF"/>
        </w:rPr>
        <w:t>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行政机关及其工作人员不得以转让技术作为取得行政许可的条件</w:t>
      </w:r>
      <w:r>
        <w:rPr>
          <w:rFonts w:hint="eastAsia" w:ascii="方正仿宋_GBK" w:hAnsi="方正仿宋_GBK" w:eastAsia="方正仿宋_GBK" w:cs="方正仿宋_GBK"/>
          <w:sz w:val="28"/>
          <w:szCs w:val="28"/>
          <w:shd w:val="clear" w:fill="FFFFFF"/>
          <w:lang w:eastAsia="zh-CN"/>
        </w:rPr>
        <w:t>；</w:t>
      </w:r>
      <w:r>
        <w:rPr>
          <w:rFonts w:ascii="方正仿宋_GBK" w:hAnsi="方正仿宋_GBK" w:eastAsia="方正仿宋_GBK" w:cs="方正仿宋_GBK"/>
          <w:sz w:val="28"/>
          <w:szCs w:val="28"/>
        </w:rPr>
        <w:t>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一)申请事项依法不需要取得行政许可的，应当即时告知申请人不受理</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三)申请材料存在可以当场更正的错误的，应当允许申请人当场更正</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w:t>
      </w:r>
      <w:r>
        <w:rPr>
          <w:rFonts w:hint="eastAsia" w:ascii="方正仿宋_GBK" w:hAnsi="方正仿宋_GBK" w:eastAsia="方正仿宋_GBK" w:cs="方正仿宋_GBK"/>
          <w:sz w:val="28"/>
          <w:szCs w:val="28"/>
          <w:shd w:val="clear" w:fill="FFFFFF"/>
          <w:lang w:eastAsia="zh-CN"/>
        </w:rPr>
        <w:t>；</w:t>
      </w:r>
      <w:r>
        <w:rPr>
          <w:rFonts w:ascii="方正仿宋_GBK" w:hAnsi="方正仿宋_GBK" w:eastAsia="方正仿宋_GBK" w:cs="方正仿宋_GBK"/>
          <w:sz w:val="28"/>
          <w:szCs w:val="28"/>
        </w:rPr>
        <w:t>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一)许可证、执照或者其他许可证书</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二)资格证、资质证或者其他合格证书</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三)行政机关的批准文件或者证明文件</w:t>
      </w:r>
      <w:r>
        <w:rPr>
          <w:rFonts w:hint="eastAsia" w:ascii="方正仿宋_GBK" w:hAnsi="方正仿宋_GBK" w:eastAsia="方正仿宋_GBK" w:cs="方正仿宋_GBK"/>
          <w:sz w:val="28"/>
          <w:szCs w:val="28"/>
          <w:shd w:val="clear" w:fill="FFFFFF"/>
          <w:lang w:eastAsia="zh-CN"/>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w:t>
      </w:r>
      <w:r>
        <w:rPr>
          <w:rFonts w:hint="eastAsia" w:ascii="方正仿宋_GBK" w:hAnsi="方正仿宋_GBK" w:eastAsia="方正仿宋_GBK" w:cs="方正仿宋_GBK"/>
          <w:sz w:val="28"/>
          <w:szCs w:val="28"/>
          <w:shd w:val="clear" w:fill="FFFFFF"/>
          <w:lang w:eastAsia="zh-CN"/>
        </w:rPr>
        <w:t>；</w:t>
      </w:r>
      <w:r>
        <w:rPr>
          <w:rFonts w:ascii="方正仿宋_GBK" w:hAnsi="方正仿宋_GBK" w:eastAsia="方正仿宋_GBK" w:cs="方正仿宋_GBK"/>
          <w:sz w:val="28"/>
          <w:szCs w:val="28"/>
        </w:rPr>
        <w:t>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特殊车辆在城市道路上行驶许可决定书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（1）《城市道路管理条例》第六条国务院建设行政主管部门主管全国城市道路管理工作。</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省、自治区人民政府城市建设行政主管部门主管本行政区域内的城市道路管理工作。</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县级以上城市人民政府市政工程行政主管部门主管本行政区域内的城市道路管理工作。</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申请人信息发生变更</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通行的时间、路线发生变更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（1）《城市道路管理条例》第六条国务院建设行政主管部门主管全国城市道路管理工作。</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省、自治区人民政府城市建设行政主管部门主管本行政区域内的城市道路管理工作。</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县级以上城市人民政府市政工程行政主管部门主管本行政区域内的城市道路管理工作。</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B4025DA"/>
    <w:rsid w:val="11553379"/>
    <w:rsid w:val="19636896"/>
    <w:rsid w:val="614C406F"/>
    <w:rsid w:val="622E1585"/>
    <w:rsid w:val="6AF82BEB"/>
    <w:rsid w:val="6B402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2024-02-26T08:40:00Z</dcterms:created>
  <dc:creator>渐行渐远</dc:creator>
  <cp:lastModifiedBy>Administrator</cp:lastModifiedBy>
  <dcterms:modified xsi:type="dcterms:W3CDTF">2024-03-13T12:31:28Z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30357FCC64934880A9EBF066B32FA24D</vt:lpwstr>
  </property>
  <property fmtid="{D5CDD505-2E9C-101B-9397-08002B2CF9AE}" pid="4" name="hmcheck_markmode">
    <vt:i4>0</vt:i4>
  </property>
</Properties>
</file>