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bookmarkStart w:id="0" w:name="_GoBack"/>
      <w:r>
        <w:rPr>
          <w:rFonts w:hint="eastAsia" w:ascii="方正小标宋_GBK" w:hAnsi="方正小标宋_GBK" w:eastAsia="方正小标宋_GBK" w:cs="方正小标宋_GBK"/>
          <w:sz w:val="40"/>
          <w:szCs w:val="40"/>
        </w:rPr>
        <w:t>在城市建筑物、设施上悬挂、张贴宣传品审批</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（初次申请）</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【00011713900601】</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设置大型户外广告及在城市建筑物、设施上悬挂、张贴宣传品审批【00011713900Y】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在城市建筑物、设施上悬挂、张贴宣传品审批（县级权限）【000117139006】</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w:t>
      </w:r>
      <w:r>
        <w:rPr>
          <w:rFonts w:hint="eastAsia" w:ascii="Times New Roman" w:hAnsi="Times New Roman" w:eastAsia="仿宋GB2312"/>
          <w:b/>
          <w:bCs/>
          <w:sz w:val="28"/>
          <w:szCs w:val="28"/>
          <w:shd w:val="clear" w:fill="FFFFFF"/>
        </w:rPr>
        <w:t>理</w:t>
      </w:r>
      <w:r>
        <w:rPr>
          <w:rFonts w:hint="eastAsia" w:ascii="Times New Roman" w:hAnsi="Times New Roman" w:eastAsia="仿宋GB2312"/>
          <w:b/>
          <w:bCs/>
          <w:sz w:val="28"/>
          <w:szCs w:val="28"/>
        </w:rPr>
        <w:t>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在城市建筑物、设施上悬挂、张贴宣传品审批（县级权限）（初次申请</w:t>
      </w:r>
      <w:r>
        <w:rPr>
          <w:rFonts w:hint="eastAsia" w:ascii="方正仿宋_GBK" w:hAnsi="方正仿宋_GBK" w:eastAsia="方正仿宋_GBK" w:cs="方正仿宋_GBK"/>
          <w:sz w:val="28"/>
          <w:szCs w:val="28"/>
          <w:shd w:val="clear" w:fill="FFFFFF"/>
        </w:rPr>
        <w:t>）(</w:t>
      </w:r>
      <w:r>
        <w:rPr>
          <w:rFonts w:hint="eastAsia" w:ascii="方正仿宋_GBK" w:hAnsi="方正仿宋_GBK" w:eastAsia="方正仿宋_GBK" w:cs="方正仿宋_GBK"/>
          <w:sz w:val="28"/>
          <w:szCs w:val="28"/>
        </w:rPr>
        <w:t>00011713900601)</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（1）《城市市容和环境卫生管理条例》第十七条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（1）《城市市容和环境卫生管理条例》第十七条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（2）《关于加强户外广告、霓虹灯设置管理的规定》第二条、第四条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（1）《城市市容和环境卫生管理条例》第三十四条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（2）《关于加强户外广告、霓虹灯设置管理的规定》第二条、第六条、第七条</w:t>
      </w:r>
    </w:p>
    <w:p>
      <w:pPr>
        <w:spacing w:line="600" w:lineRule="exact"/>
        <w:ind w:firstLine="562" w:firstLineChars="200"/>
        <w:rPr>
          <w:rFonts w:hint="eastAsia" w:ascii="Times New Roman" w:hAnsi="Times New Roman" w:eastAsia="仿宋GB2312"/>
          <w:b/>
          <w:bCs/>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eastAsia="zh-CN"/>
        </w:rPr>
        <w:t>富源县行政审批局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设置大型户外广告及在城市建筑物、设施上悬挂、张贴宣传品审批</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应与城市区域功能和风貌相适应，与周围市容环境和城市景观相协调；</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不得危及人身安全，不得影响建筑物、构筑物安全和功能，不得妨碍相邻建筑物、构筑物的通风、采光，不得妨碍交通和消防安全。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应当确保安全、牢固；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申请材料齐全。</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（1）《城市市容和环境卫生管理条例》第十七条一切单位和个人，都不得在城市建筑物、设施以及树木上涂写、刻画。</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单位和个人在城市建筑物、设施上张挂、张贴宣传品等，须经城市人民政府市容环境卫生行政主管部门或者其他有关部门批准。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关于加强户外广告、霓虹灯设置管理的规定》第二条在城市中设置的户外广告、霓虹灯、标语、电子显示牌、灯箱、画廊、橱窗等设施（以下统称广告、霓虹灯），位置设置应适当，布置形式应与街景协调、保持完好、整洁、美观。</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企业法人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事业单位法人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社会组织法人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非法人企业</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行政机关</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出台完善相关文件，规范审批流程，优化审批程序，提高审批效率。</w:t>
      </w:r>
      <w:r>
        <w:rPr>
          <w:rFonts w:hint="eastAsia" w:ascii="方正仿宋_GBK" w:hAnsi="方正仿宋_GBK" w:eastAsia="方正仿宋_GBK" w:cs="方正仿宋_GBK"/>
          <w:sz w:val="28"/>
          <w:szCs w:val="28"/>
        </w:rPr>
        <w:t>在国家审批时限压减至5个工作日基础上，进一步将承诺审批时限压减至2个工作日。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1.完善常态化监管机制，强化日常监管。2</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结合安全生产工作要求，组织开展标语、宣传品等安全隐患整治排查。3</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拓宽公众参与社会监督的渠道和方式，鼓励公众通过各种渠道反映标语、宣传品等设施设置安全管理方面的问题。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设置申请表；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申请人身份证明材料；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申请人单位证照材料；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悬挂、张贴宣传品有关设计文件；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安全承诺书；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涉及举办活动的，提供相关书面材料；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所利用的场地、建筑物、设施的权属证明材料和同意设置的证明材料。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（1）《城市市容和环境卫生管理条例》第十七条单位和个人在城市建筑物、设施上张挂、张贴宣传品等，须经城市人民政府市容环境卫生行政主管部门或者其他有关部门批准。</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关于加强户外广告、霓虹灯设置管理的规定》第二条、第四条在城市中设置的户外广告、霓虹灯、标语、电子显示牌、灯箱、画廊、橱窗等设施（以下统称广告、霓虹灯），位置设置应适当，布置形式应与街景协调、保持完好、整洁、美观。</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广告、霓虹灯的设置必须征得</w:t>
      </w:r>
      <w:r>
        <w:rPr>
          <w:rFonts w:hint="eastAsia" w:ascii="方正仿宋_GBK" w:hAnsi="方正仿宋_GBK" w:eastAsia="方正仿宋_GBK" w:cs="方正仿宋_GBK"/>
          <w:sz w:val="28"/>
          <w:szCs w:val="28"/>
          <w:shd w:val="clear" w:fill="FFFFFF"/>
        </w:rPr>
        <w:t>城市</w:t>
      </w:r>
      <w:r>
        <w:rPr>
          <w:rFonts w:hint="eastAsia" w:ascii="方正仿宋_GBK" w:hAnsi="方正仿宋_GBK" w:eastAsia="方正仿宋_GBK" w:cs="方正仿宋_GBK"/>
          <w:sz w:val="28"/>
          <w:szCs w:val="28"/>
        </w:rPr>
        <w:t>人民政府市容环境卫生行政主管部门同意后，按照有关规定办理审批手续。</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审批机构受理/不予受理；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审批机构审查；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现场勘验（各地根据情况选择性开展）；</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社会公示；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决定核发许可证/不予核发许可证。</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《中华人民共和国行政许可法》第四章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1个工作日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ascii="方正仿宋_GBK" w:hAnsi="方正仿宋_GBK" w:eastAsia="方正仿宋_GBK" w:cs="方正仿宋_GBK"/>
          <w:sz w:val="28"/>
          <w:szCs w:val="28"/>
        </w:rPr>
        <w:t>20</w:t>
      </w:r>
      <w:r>
        <w:rPr>
          <w:rFonts w:hint="eastAsia" w:ascii="方正仿宋_GBK" w:hAnsi="方正仿宋_GBK" w:eastAsia="方正仿宋_GBK" w:cs="方正仿宋_GBK"/>
          <w:sz w:val="28"/>
          <w:szCs w:val="28"/>
        </w:rPr>
        <w:t>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另有规定的，依照其规定。</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个工作日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悬挂张贴宣传品许可证</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根据合理情况确定许可时限，最长时间建议不超过3个月。</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（1）《中华人民共和国行政许可法》第十八条设定行政许可，应当规定行政许可的实施机关、条件、程序、期限。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该许可证件有效期届满10日前提出延续申请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本市</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（1）《城市市容和环境卫生管理条例》第十七条单位和个人在城市建筑物、设施上张挂、张贴宣传品等，须经城市人民政府市容环境卫生行政主管部门或者其他有关部门批准。</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540" w:lineRule="exact"/>
        <w:ind w:firstLine="560" w:firstLineChars="20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富源县城市综合管理局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NjMyYzI5ZGE0NDQxZDZlOTU3MmY3YjFhZGIyOGEifQ=="/>
  </w:docVars>
  <w:rsids>
    <w:rsidRoot w:val="4F3600FB"/>
    <w:rsid w:val="18777CBA"/>
    <w:rsid w:val="1CCB3FE9"/>
    <w:rsid w:val="2EC32BE7"/>
    <w:rsid w:val="4F3600FB"/>
    <w:rsid w:val="7103629A"/>
    <w:rsid w:val="7B2153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曲靖市富源县党政机关单位</Company>
  <Pages>1</Pages>
  <Words>0</Words>
  <Characters>0</Characters>
  <Lines>0</Lines>
  <Paragraphs>0</Paragraphs>
  <TotalTime>1</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2024-02-26T08:48:00Z</dcterms:created>
  <dc:creator>渐行渐远</dc:creator>
  <cp:lastModifiedBy>Administrator</cp:lastModifiedBy>
  <dcterms:modified xsi:type="dcterms:W3CDTF">2024-03-13T12:32:16Z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1A5FCCDA0B42402EAAEC6FDA0B35956A</vt:lpwstr>
  </property>
  <property fmtid="{D5CDD505-2E9C-101B-9397-08002B2CF9AE}" pid="4" name="hmcheck_markmode">
    <vt:i4>0</vt:i4>
  </property>
</Properties>
</file>