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临时性建筑物搭建、堆放物料、占道施工审批</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（初次申请）</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【00011714000301】</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临时性建筑物搭建、堆放物料、占道施工审批【00011714000Y】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临时性建筑物搭建、堆放物料、占道施工审批（县级权限）【000117140003】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w:t>
      </w:r>
      <w:r>
        <w:rPr>
          <w:rFonts w:hint="eastAsia" w:ascii="Times New Roman" w:hAnsi="Times New Roman" w:eastAsia="仿宋GB2312"/>
          <w:b/>
          <w:bCs/>
          <w:sz w:val="28"/>
          <w:szCs w:val="28"/>
          <w:shd w:val="clear" w:fill="FFFFFF"/>
        </w:rPr>
        <w:t>理</w:t>
      </w:r>
      <w:r>
        <w:rPr>
          <w:rFonts w:hint="eastAsia" w:ascii="Times New Roman" w:hAnsi="Times New Roman" w:eastAsia="仿宋GB2312"/>
          <w:b/>
          <w:bCs/>
          <w:sz w:val="28"/>
          <w:szCs w:val="28"/>
        </w:rPr>
        <w:t>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临时性建筑物搭建、堆放物料、占道施工审批（县级权限）（初次申请</w:t>
      </w:r>
      <w:r>
        <w:rPr>
          <w:rFonts w:hint="eastAsia" w:ascii="方正仿宋_GBK" w:hAnsi="方正仿宋_GBK" w:eastAsia="方正仿宋_GBK" w:cs="方正仿宋_GBK"/>
          <w:sz w:val="28"/>
          <w:szCs w:val="28"/>
          <w:shd w:val="clear" w:fill="FFFFFF"/>
        </w:rPr>
        <w:t>）(</w:t>
      </w:r>
      <w:r>
        <w:rPr>
          <w:rFonts w:hint="eastAsia" w:ascii="方正仿宋_GBK" w:hAnsi="方正仿宋_GBK" w:eastAsia="方正仿宋_GBK" w:cs="方正仿宋_GBK"/>
          <w:sz w:val="28"/>
          <w:szCs w:val="28"/>
        </w:rPr>
        <w:t>00011714000301)</w:t>
      </w:r>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（1）《城市市容和环境卫生管理条例》第十四条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（1）《城市市容和环境卫生管理条例》第十四条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（2）《城市市容和环境卫生管理条例》第三十六条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（1）《城市市容和环境卫生管理条例》第十四条</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eastAsia="zh-CN"/>
        </w:rPr>
        <w:t>富源县行政审批局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临时性建筑物搭建、堆放物料、占道施工审批</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符合《城市容貌标准》4.0.2条，城市道路在进行新建、扩建、改建、养护、维修等施工作业时，在施工现场设置明显标志和安全防围设施，施工完毕后及时平整现场，恢复路面、拆除</w:t>
      </w:r>
      <w:r>
        <w:rPr>
          <w:rFonts w:ascii="方正仿宋_GBK" w:hAnsi="方正仿宋_GBK" w:eastAsia="方正仿宋_GBK" w:cs="方正仿宋_GBK"/>
          <w:sz w:val="28"/>
          <w:szCs w:val="28"/>
          <w:shd w:val="clear" w:fill="FFFFFF"/>
        </w:rPr>
        <w:t>防围</w:t>
      </w:r>
      <w:r>
        <w:rPr>
          <w:rFonts w:ascii="方正仿宋_GBK" w:hAnsi="方正仿宋_GBK" w:eastAsia="方正仿宋_GBK" w:cs="方正仿宋_GBK"/>
          <w:sz w:val="28"/>
          <w:szCs w:val="28"/>
        </w:rPr>
        <w:t>措施，保持周围市容环境卫生、整洁，不存在安全隐患；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不得影响市政道路、城市桥梁、城市照明、供排水、燃气等市政公用设施及其附属设施的正常运行和日常维护工作；</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不得损坏上述市政道路、城市桥梁以及市政公用设施及其附属设施；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符合《城市市容和环境卫生管理条例》第十六条，城市的工程施工现场的材料、机具应当堆放整齐，渣土应当及时清运；临街工地应当设置护栏或者围布遮挡；停工场地应当及时整理并作必要的覆盖；竣工后，应当及时清理和平整场地。</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shd w:val="clear" w:fill="FFFFFF"/>
        </w:rPr>
      </w:pPr>
      <w:r>
        <w:rPr>
          <w:rFonts w:ascii="方正仿宋_GBK" w:hAnsi="方正仿宋_GBK" w:eastAsia="方正仿宋_GBK" w:cs="方正仿宋_GBK"/>
          <w:sz w:val="28"/>
          <w:szCs w:val="28"/>
        </w:rPr>
        <w:t>（1）《城市市容和环境卫生管理条例》</w:t>
      </w:r>
      <w:r>
        <w:rPr>
          <w:rFonts w:ascii="方正仿宋_GBK" w:hAnsi="方正仿宋_GBK" w:eastAsia="方正仿宋_GBK" w:cs="方正仿宋_GBK"/>
          <w:sz w:val="28"/>
          <w:szCs w:val="28"/>
          <w:shd w:val="clear" w:fill="FFFFFF"/>
        </w:rPr>
        <w:t>第十四条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shd w:val="clear" w:fill="FFFFFF"/>
        </w:rPr>
        <w:t>第十四条</w:t>
      </w:r>
      <w:r>
        <w:rPr>
          <w:rFonts w:ascii="方正仿宋_GBK" w:hAnsi="方正仿宋_GBK" w:eastAsia="方正仿宋_GBK" w:cs="方正仿宋_GBK"/>
          <w:sz w:val="28"/>
          <w:szCs w:val="28"/>
        </w:rPr>
        <w:t>任何单位和个人都不得在街道两侧和公共场地堆放物料，搭建建筑物、构筑物或者其他设施。因建设等特殊需要，在街道两侧和公共场地临时堆放物料，搭建非永久性建筑物、构筑物或者其他设施的，必须征得城市人民政府市容环境卫生行政主管部门同意后，按照有关规定办理审批手续。</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（2）《城市容貌标准》4.0.6严禁擅自占道加工、经营、堆放及搭建等。</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（3）《城市容貌标准》4.0.2城市道路在进行新建、扩建、改建、养护、维修等施工作业时，在施工现场设置明显标志和安全防围设施，施工完毕后及时平整现场，恢复路面、拆除</w:t>
      </w:r>
      <w:r>
        <w:rPr>
          <w:rFonts w:ascii="方正仿宋_GBK" w:hAnsi="方正仿宋_GBK" w:eastAsia="方正仿宋_GBK" w:cs="方正仿宋_GBK"/>
          <w:sz w:val="28"/>
          <w:szCs w:val="28"/>
          <w:shd w:val="clear" w:fill="FFFFFF"/>
        </w:rPr>
        <w:t>防围</w:t>
      </w:r>
      <w:r>
        <w:rPr>
          <w:rFonts w:ascii="方正仿宋_GBK" w:hAnsi="方正仿宋_GBK" w:eastAsia="方正仿宋_GBK" w:cs="方正仿宋_GBK"/>
          <w:sz w:val="28"/>
          <w:szCs w:val="28"/>
        </w:rPr>
        <w:t>措施，保持周围市容环境卫生、整洁，</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企业法人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事业单位法人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社会组织法人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非法人企业</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行政机关</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在国家审批时限压减至5个工作日基础上，进一步将承诺审批时限压减至1个工作日。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1..开展“双随机、一公开”监管，加强现场核查。对可能存在公共安全隐患、影响市政道路、城市桥梁、城市照明、供排水、燃气等市政公用设施及其附属设施的正常运行的重点进行抽查。2</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加强行政执法，对违反《城市市容和环境卫生管理条例》等有关法律规定的，依法严肃查处。3</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加强信用监管，依法依规对失信主体开展失信惩戒。</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申请表</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申请人身份证明材料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申请人单位证照材料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堆放、搭建位置示意图</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承诺书</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占用场地权属/管理单位的批准材料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（1）各地市容环境卫生主管部门印发的通知、办法等。各地市容环境卫生主管部门印发的通知、办法等。</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审批机构受理/不予受理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审批机构审查（书面或现场勘验视情况确定）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现场勘验（各地根据情况选择性开展）</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向社会公示（各地根据情况选择性开展）</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做出准予/不准予行政许可的书面决定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《中华人民共和国行政许可法》第四章　行政许可的实施程序</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第一节　申 请 与 受 理</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第二十九条　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    第三十条　行政机关应当将</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    第三十一条　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    行政机关及其工作人员不得以转让技术作为取得行政许可的条件；不得在实施行政许可的过程中，直接或者间接地要求转让技术。</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    第三十二条　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    （一）申请事项依法不需要取得行政许可的，应当即时告知申请人不受理；</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    第三十三条　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第二节　审 查 与 决 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    第三十四条　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    第三十五条　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    第三十六条　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    第三十七条　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    第三十八条　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    第三十九条　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    （四）</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规定的其他行政许可证件。</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    第四十条　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    第四十一条　法律、行政法规设定的行政许可，其适用范围没有地域限制的，申请人取得的行政许可在全国范围内有效。</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第三节　期　　限</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另有规定的，依照其规定。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    第四十三条　依法应当先经下级行政机关审查后报上级行政机关决定的行政许可，下级行政机关应当自其受理行政许可申请之日起二十日内审查完毕。但是，</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另有规定的，依照其规定。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    第四十四条　行政机关作出准予行政许可的决定，应当自作出决定之日起十日内向申请人颁发、送达行政许可证件，或者加贴标签、加盖检验、检测、检疫印章。</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    第四十五条　行政机关作出行政许可决定，依法需要听证、招标、拍卖、检验、检测、检疫、鉴定和专家评审的，所需时间不计算在本节规定的期限内。行政机关应当将所需时间书面告知申请人。</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第四节　听　　证</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    第四十六条　</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、规章规定实施行政许可应当听证的事项，或者行政机关认为需要听证的其他涉及公共利益的重大行政许可事项，行政机关应当向社会公告，并举行听证。</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    第四十七条　行政许可直接涉及申请人与他人之间重大利益关系的，行政机关在作出行政许可决定前，应当告知申请人、利害关系人享有要求听证的权利；申请人、利害关系人在被告知听证权利之日起五日内提出听证申请的，行政机关应当在二十日内组织听证。</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    申请人、利害关系人不承担行政机关组织听证的费用。</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    第四十八条　听证按照下列程序进行：</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    （一）行政机关应当于举行听证的七日前将举行听证的时间、地点通知申请人、利害关系人，必要时予以公告；</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    （二）听证应当公开举行；</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    （三）行政机关应当指定审查该行政许可申请的工作人员以外的人员为听证主持人，申请人、利害关系人认为主持人与该行政许可事项有直接利害关系的，有权申请回避；</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    （四）举行听证时，审查该行政许可申请的工作人员应当提供审查意见的证据、理由，申请人、利害关系人可以提出证据，并进行申辩和质证；</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    （五）听证应当制作笔录，听证笔录应当交听证参加人确认无误后签字或者盖章。</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    行政机关应当根据听证笔录，作出行政许可决定。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第五节　变 更 与 延 续</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    第四十九条　被许可人要求变更行政许可事项的，应当向作出行政许可决定的行政机关提出申请；符合法定条件、标准的，行政机关应当依法办理变更手续。</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    第五十条　被许可人需要延续依法取得的行政许可的有效期的，应当在该行政许可有效期届满三十日前向作出行政许可决定的行政机关提出申请。但是，</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、规章另有规定的，依照其规定。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    行政机关应当根据被许可人的申请，在该行政许可有效期届满前作出是否准予延续的决定；逾期未作决定的，视为准予延续。</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第六节　特 别 规 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    第五十一条　实施行政许可的程序，本节有规定的，适用本节规定；本节没有规定的，适用本章其他有关规定。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    第五十二条　国务院实施行政许可的程序，适用有关法律、行政法规的规定。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    第五十三条　实施本法第十二条第二项所列事项的行政许可的，行政机关应当通过招标、拍卖等公平竞争的方式作出决定。但是，法律、行政法规另有规定的，依照其规定。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    行政机关通过招标、拍卖等方式作出行政许可决定的具体程序，依照有关法律、行政法规的规定。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    行政机关按照招标、拍卖程序确定中标人、买受人后，应当作出准予行政许可的决定，并依法向中标人、买受人颁发行政许可证件。</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    行政机关违反本条规定，不采用招标、拍卖方式，或者违反招标、拍卖程序，损害申请人合法权益的，申请人可以依法申请行政复议或者提起行政诉讼。</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    第五十四条　实施本法第十二条第三项所列事项的行政许可，赋予公民特定资格，依法应当举行国家考试的，行政机关根据考试成绩和其他法定条件作出行政许可决定；赋予法人或者其他组织特定的资格、资质的，行政机关根据申请人的专业人员构成、技术条件、经营业绩和管理水平等的考核结果作出行政许可决定。但是，法律、行政法规另有规定的，依照其规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公民特定资格的考试依法由行政机关或者行业组织实施，公开举行。行政机关或者行业组织应当事先公布资格考试的报名条件、报考办法、考试科目以及考试大纲。但是，不得组织强制性的资格考试的考前培训，不得指定教材或者其他助考材料。</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    第五十五条　实施本法第十二条第四项所列事项的行政许可的，应当按照技术标准、技术规范依法进行检验、检测、检疫，行政机关根据检验、检测、检疫的结果作出行政许可决定。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    行政机关实施检验、检测、检疫，应当自受理申请之日起五日内指派两名以上工作人员按照技术标准、技术规范进行检验、检测、检疫。不需要对检验、检测、检疫结果</w:t>
      </w:r>
      <w:r>
        <w:rPr>
          <w:rFonts w:hint="eastAsia" w:ascii="方正仿宋_GBK" w:hAnsi="方正仿宋_GBK" w:eastAsia="方正仿宋_GBK" w:cs="方正仿宋_GBK"/>
          <w:sz w:val="28"/>
          <w:szCs w:val="28"/>
          <w:lang w:eastAsia="zh-CN"/>
        </w:rPr>
        <w:t>做</w:t>
      </w:r>
      <w:r>
        <w:rPr>
          <w:rFonts w:ascii="方正仿宋_GBK" w:hAnsi="方正仿宋_GBK" w:eastAsia="方正仿宋_GBK" w:cs="方正仿宋_GBK"/>
          <w:sz w:val="28"/>
          <w:szCs w:val="28"/>
        </w:rPr>
        <w:t>进一步技术分析即可认定设备、设施、产品、物品是否符合技术标准、技术规范的，行政机关应当当场作出行政许可决定。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    行政机关根据检验、检测、检疫结果，作出不予行政许可决定的，应当书面说明不予行政许可所依据的技术标准、技术规范。</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    第五十六条　实施本法第十二条第五项所列事项的行政许可，申请人提交的申请材料齐全、符合法定形式的，行政机关应当当场予以登记。需要对申请材料的实质内容进行核实的，行政机关依照本法第三十四条第三款的规定办理。</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    第五十七条　有数量限制的行政许可，两个或者两个以上申请人的申请均符合法定条件、标准的，行政机关应当根据受理行政许可申请的先后顺序作出准予行政许可的决定。但是，法律、行政法规另有规定的，依照其规定。</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2个工作日</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ascii="方正仿宋_GBK" w:hAnsi="方正仿宋_GBK" w:eastAsia="方正仿宋_GBK" w:cs="方正仿宋_GBK"/>
          <w:sz w:val="28"/>
          <w:szCs w:val="28"/>
        </w:rPr>
        <w:t>20</w:t>
      </w:r>
      <w:r>
        <w:rPr>
          <w:rFonts w:hint="eastAsia" w:ascii="方正仿宋_GBK" w:hAnsi="方正仿宋_GBK" w:eastAsia="方正仿宋_GBK" w:cs="方正仿宋_GBK"/>
          <w:sz w:val="28"/>
          <w:szCs w:val="28"/>
        </w:rPr>
        <w:t>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w:t>
      </w:r>
      <w:bookmarkStart w:id="0" w:name="_GoBack"/>
      <w:r>
        <w:rPr>
          <w:rFonts w:hint="eastAsia" w:ascii="方正仿宋_GBK" w:hAnsi="方正仿宋_GBK" w:eastAsia="方正仿宋_GBK" w:cs="方正仿宋_GBK"/>
          <w:sz w:val="28"/>
          <w:szCs w:val="28"/>
          <w:shd w:val="clear" w:fill="FFFFFF"/>
          <w:lang w:eastAsia="zh-CN"/>
        </w:rPr>
        <w:t>法律法规</w:t>
      </w:r>
      <w:bookmarkEnd w:id="0"/>
      <w:r>
        <w:rPr>
          <w:rFonts w:ascii="方正仿宋_GBK" w:hAnsi="方正仿宋_GBK" w:eastAsia="方正仿宋_GBK" w:cs="方正仿宋_GBK"/>
          <w:sz w:val="28"/>
          <w:szCs w:val="28"/>
        </w:rPr>
        <w:t>另有规定的，依照其规定。 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个工作日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批文</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行政许可决定书</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当次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（1）各地市容环境卫生主管部门印发的通知、办法等各地市容环境卫生主管部门印发的通知、办法等</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提交延续申请，经审批机构审查同意后办理</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本省</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（1）各地市容环境卫生主管部门印发的通知、办法等。各地市容环境卫生主管部门印发的通知、办法等。</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富源县</w:t>
      </w:r>
      <w:r>
        <w:rPr>
          <w:rFonts w:hint="eastAsia" w:ascii="方正仿宋_GBK" w:hAnsi="方正仿宋_GBK" w:eastAsia="方正仿宋_GBK" w:cs="方正仿宋_GBK"/>
          <w:sz w:val="28"/>
          <w:szCs w:val="28"/>
          <w:lang w:val="en-US" w:eastAsia="zh-CN"/>
        </w:rPr>
        <w:t>城市综合管理局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0NjMyYzI5ZGE0NDQxZDZlOTU3MmY3YjFhZGIyOGEifQ=="/>
  </w:docVars>
  <w:rsids>
    <w:rsidRoot w:val="036F58A9"/>
    <w:rsid w:val="036F58A9"/>
    <w:rsid w:val="17487F2D"/>
    <w:rsid w:val="328663F0"/>
    <w:rsid w:val="50AE083C"/>
    <w:rsid w:val="76BD61E0"/>
    <w:rsid w:val="7A021EE3"/>
    <w:rsid w:val="7E4136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曲靖市富源县党政机关单位</Company>
  <Pages>1</Pages>
  <Words>0</Words>
  <Characters>0</Characters>
  <Lines>0</Lines>
  <Paragraphs>0</Paragraphs>
  <TotalTime>4</TotalTime>
  <ScaleCrop>false</ScaleCrop>
  <LinksUpToDate>false</LinksUpToDate>
  <CharactersWithSpaces>0</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2024-02-26T03:52:00Z</dcterms:created>
  <dc:creator>渐行渐远</dc:creator>
  <cp:lastModifiedBy>……</cp:lastModifiedBy>
  <dcterms:modified xsi:type="dcterms:W3CDTF">2024-02-29T03:22:22Z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338B03D265E1498EB889F610AA757891</vt:lpwstr>
  </property>
  <property fmtid="{D5CDD505-2E9C-101B-9397-08002B2CF9AE}" pid="4" name="hmcheck_markmode">
    <vt:i4>0</vt:i4>
  </property>
</Properties>
</file>