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tbl>
      <w:tblPr>
        <w:tblStyle w:val="3"/>
        <w:tblpPr w:leftFromText="180" w:rightFromText="180" w:vertAnchor="page" w:horzAnchor="page" w:tblpX="744" w:tblpY="2478"/>
        <w:tblOverlap w:val="never"/>
        <w:tblW w:w="1074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810"/>
        <w:gridCol w:w="1305"/>
        <w:gridCol w:w="1320"/>
        <w:gridCol w:w="1275"/>
        <w:gridCol w:w="1335"/>
        <w:gridCol w:w="1278"/>
        <w:gridCol w:w="1137"/>
        <w:gridCol w:w="111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3" w:hRule="atLeast"/>
        </w:trPr>
        <w:tc>
          <w:tcPr>
            <w:tcW w:w="198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bookmarkStart w:id="0" w:name="_GoBack"/>
            <w:bookmarkEnd w:id="0"/>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收费项目</w:t>
            </w:r>
          </w:p>
        </w:tc>
        <w:tc>
          <w:tcPr>
            <w:tcW w:w="8760" w:type="dxa"/>
            <w:gridSpan w:val="7"/>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政府信息公开信息处理费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5" w:hRule="atLeast"/>
        </w:trPr>
        <w:tc>
          <w:tcPr>
            <w:tcW w:w="198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收费依据</w:t>
            </w:r>
          </w:p>
        </w:tc>
        <w:tc>
          <w:tcPr>
            <w:tcW w:w="8760" w:type="dxa"/>
            <w:gridSpan w:val="7"/>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《国务院办公厅关于印发〈政府信息公开信息处理费管理办法〉的通知》（国办函〔2020〕109号）、《云南省人民政府办公厅关于贯彻落实政府信息公开信息处理费管理办法的通知》（云政办函〔2021〕47号）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198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收费对象</w:t>
            </w:r>
          </w:p>
        </w:tc>
        <w:tc>
          <w:tcPr>
            <w:tcW w:w="8760" w:type="dxa"/>
            <w:gridSpan w:val="7"/>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申请公开政府信息超出一定数量或者频次范围的申请人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95" w:hRule="atLeast"/>
        </w:trPr>
        <w:tc>
          <w:tcPr>
            <w:tcW w:w="198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收费时限及方式</w:t>
            </w:r>
          </w:p>
        </w:tc>
        <w:tc>
          <w:tcPr>
            <w:tcW w:w="8760" w:type="dxa"/>
            <w:gridSpan w:val="7"/>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行政机关依法决定收取信息处理费的，应当在政府信息公开申请处理期限内，按照申请人获取信息的途径向申请人发出收费通知，说明收费的依据、标准、数额、缴纳方式等</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6" w:hRule="atLeast"/>
        </w:trPr>
        <w:tc>
          <w:tcPr>
            <w:tcW w:w="198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缴费时限</w:t>
            </w:r>
          </w:p>
        </w:tc>
        <w:tc>
          <w:tcPr>
            <w:tcW w:w="8760" w:type="dxa"/>
            <w:gridSpan w:val="7"/>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申请人应当在收到收费通知次日起20个工作日内缴纳费用，逾期未缴纳的视为放弃申请，行政机关不再处理该政府信息公开申请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rPr>
        <w:tc>
          <w:tcPr>
            <w:tcW w:w="1170" w:type="dxa"/>
            <w:vMerge w:val="restart"/>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收费标准</w:t>
            </w:r>
          </w:p>
        </w:tc>
        <w:tc>
          <w:tcPr>
            <w:tcW w:w="81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计收</w:t>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br w:type="textWrapping"/>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类型</w:t>
            </w:r>
          </w:p>
        </w:tc>
        <w:tc>
          <w:tcPr>
            <w:tcW w:w="3900" w:type="dxa"/>
            <w:gridSpan w:val="3"/>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按件计收</w:t>
            </w:r>
          </w:p>
        </w:tc>
        <w:tc>
          <w:tcPr>
            <w:tcW w:w="4860" w:type="dxa"/>
            <w:gridSpan w:val="4"/>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按量计收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1170" w:type="dxa"/>
            <w:vMerge w:val="continue"/>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suppressLineNumbers w:val="0"/>
              <w:kinsoku/>
              <w:overflowPunct/>
              <w:topLinePunct w:val="0"/>
              <w:autoSpaceDN/>
              <w:bidi w:val="0"/>
              <w:adjustRightInd/>
              <w:snapToGrid/>
              <w:spacing w:before="0" w:beforeAutospacing="0" w:after="0" w:afterAutospacing="0" w:line="360" w:lineRule="exact"/>
              <w:ind w:left="0" w:right="0"/>
              <w:textAlignment w:val="auto"/>
              <w:rPr>
                <w:rFonts w:hint="eastAsia" w:ascii="方正黑体_GBK" w:hAnsi="方正黑体_GBK" w:eastAsia="方正黑体_GBK" w:cs="方正黑体_GBK"/>
                <w:b w:val="0"/>
                <w:bCs w:val="0"/>
                <w:sz w:val="24"/>
                <w:szCs w:val="24"/>
              </w:rPr>
            </w:pPr>
          </w:p>
        </w:tc>
        <w:tc>
          <w:tcPr>
            <w:tcW w:w="81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适用</w:t>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br w:type="textWrapping"/>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情形</w:t>
            </w:r>
          </w:p>
        </w:tc>
        <w:tc>
          <w:tcPr>
            <w:tcW w:w="3900" w:type="dxa"/>
            <w:gridSpan w:val="3"/>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适用于所有政府信息公开申请处理决定类型</w:t>
            </w:r>
          </w:p>
        </w:tc>
        <w:tc>
          <w:tcPr>
            <w:tcW w:w="4860" w:type="dxa"/>
            <w:gridSpan w:val="4"/>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适用于申请人要求以提供纸质件、发送电子邮件、复制电子数据等方式获取政府信息的情形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900" w:hRule="atLeast"/>
        </w:trPr>
        <w:tc>
          <w:tcPr>
            <w:tcW w:w="1170" w:type="dxa"/>
            <w:vMerge w:val="continue"/>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suppressLineNumbers w:val="0"/>
              <w:kinsoku/>
              <w:overflowPunct/>
              <w:topLinePunct w:val="0"/>
              <w:autoSpaceDN/>
              <w:bidi w:val="0"/>
              <w:adjustRightInd/>
              <w:snapToGrid/>
              <w:spacing w:before="0" w:beforeAutospacing="0" w:after="0" w:afterAutospacing="0" w:line="360" w:lineRule="exact"/>
              <w:ind w:left="0" w:right="0"/>
              <w:textAlignment w:val="auto"/>
              <w:rPr>
                <w:rFonts w:hint="eastAsia" w:ascii="方正黑体_GBK" w:hAnsi="方正黑体_GBK" w:eastAsia="方正黑体_GBK" w:cs="方正黑体_GBK"/>
                <w:b w:val="0"/>
                <w:bCs w:val="0"/>
                <w:sz w:val="24"/>
                <w:szCs w:val="24"/>
              </w:rPr>
            </w:pPr>
          </w:p>
        </w:tc>
        <w:tc>
          <w:tcPr>
            <w:tcW w:w="81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计收</w:t>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br w:type="textWrapping"/>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方式</w:t>
            </w:r>
          </w:p>
        </w:tc>
        <w:tc>
          <w:tcPr>
            <w:tcW w:w="3900" w:type="dxa"/>
            <w:gridSpan w:val="3"/>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申请人的一份政府信息公开申请包含多项内容的，按照“一事一申请”原则，以合理的最小单位拆分计算件数。同一申请人一个自然月累计申请件数</w:t>
            </w:r>
          </w:p>
        </w:tc>
        <w:tc>
          <w:tcPr>
            <w:tcW w:w="4860" w:type="dxa"/>
            <w:gridSpan w:val="4"/>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以单件政府信息公开申请为单位分别计算页数（A4及以下幅面纸张的单面为1页），对同一申请人提交的多件政府信息公开申请不累加计算页数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1170" w:type="dxa"/>
            <w:vMerge w:val="continue"/>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suppressLineNumbers w:val="0"/>
              <w:kinsoku/>
              <w:overflowPunct/>
              <w:topLinePunct w:val="0"/>
              <w:autoSpaceDN/>
              <w:bidi w:val="0"/>
              <w:adjustRightInd/>
              <w:snapToGrid/>
              <w:spacing w:before="0" w:beforeAutospacing="0" w:after="0" w:afterAutospacing="0" w:line="360" w:lineRule="exact"/>
              <w:ind w:left="0" w:right="0"/>
              <w:textAlignment w:val="auto"/>
              <w:rPr>
                <w:rFonts w:hint="eastAsia" w:ascii="方正黑体_GBK" w:hAnsi="方正黑体_GBK" w:eastAsia="方正黑体_GBK" w:cs="方正黑体_GBK"/>
                <w:b w:val="0"/>
                <w:bCs w:val="0"/>
                <w:sz w:val="24"/>
                <w:szCs w:val="24"/>
              </w:rPr>
            </w:pPr>
          </w:p>
        </w:tc>
        <w:tc>
          <w:tcPr>
            <w:tcW w:w="810" w:type="dxa"/>
            <w:vMerge w:val="restart"/>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color w:val="424242"/>
                <w:kern w:val="0"/>
                <w:sz w:val="24"/>
                <w:szCs w:val="24"/>
              </w:rPr>
            </w:pP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计收</w:t>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br w:type="textWrapping"/>
            </w:r>
            <w:r>
              <w:rPr>
                <w:rFonts w:hint="eastAsia" w:ascii="方正黑体_GBK" w:hAnsi="方正黑体_GBK" w:eastAsia="方正黑体_GBK" w:cs="方正黑体_GBK"/>
                <w:b w:val="0"/>
                <w:bCs w:val="0"/>
                <w:i w:val="0"/>
                <w:iCs w:val="0"/>
                <w:caps w:val="0"/>
                <w:color w:val="424242"/>
                <w:spacing w:val="0"/>
                <w:kern w:val="0"/>
                <w:sz w:val="24"/>
                <w:szCs w:val="24"/>
                <w:lang w:val="en-US" w:eastAsia="zh-CN" w:bidi="ar"/>
              </w:rPr>
              <w:t>标准</w:t>
            </w:r>
          </w:p>
        </w:tc>
        <w:tc>
          <w:tcPr>
            <w:tcW w:w="130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10件以下（含10件）</w:t>
            </w:r>
          </w:p>
        </w:tc>
        <w:tc>
          <w:tcPr>
            <w:tcW w:w="132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11-30件</w:t>
            </w:r>
          </w:p>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（含30件）的部分</w:t>
            </w:r>
          </w:p>
        </w:tc>
        <w:tc>
          <w:tcPr>
            <w:tcW w:w="1275" w:type="dxa"/>
            <w:vMerge w:val="restar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31件以上的部分，以10件为一档，每增加一档，收费标准提高</w:t>
            </w:r>
          </w:p>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100元/件</w:t>
            </w:r>
          </w:p>
        </w:tc>
        <w:tc>
          <w:tcPr>
            <w:tcW w:w="133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30页以下（含30页）</w:t>
            </w:r>
          </w:p>
        </w:tc>
        <w:tc>
          <w:tcPr>
            <w:tcW w:w="1278"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31—100页（含100页）的部分</w:t>
            </w:r>
          </w:p>
        </w:tc>
        <w:tc>
          <w:tcPr>
            <w:tcW w:w="1137"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101—200页（含200页）的部分</w:t>
            </w:r>
          </w:p>
        </w:tc>
        <w:tc>
          <w:tcPr>
            <w:tcW w:w="111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201页以上的部分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45" w:hRule="atLeast"/>
        </w:trPr>
        <w:tc>
          <w:tcPr>
            <w:tcW w:w="1170" w:type="dxa"/>
            <w:vMerge w:val="continue"/>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suppressLineNumbers w:val="0"/>
              <w:kinsoku/>
              <w:overflowPunct/>
              <w:topLinePunct w:val="0"/>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2312" w:cs="Times New Roman"/>
                <w:sz w:val="24"/>
                <w:szCs w:val="24"/>
              </w:rPr>
            </w:pPr>
          </w:p>
        </w:tc>
        <w:tc>
          <w:tcPr>
            <w:tcW w:w="810"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suppressLineNumbers w:val="0"/>
              <w:kinsoku/>
              <w:overflowPunct/>
              <w:topLinePunct w:val="0"/>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2312" w:cs="Times New Roman"/>
                <w:sz w:val="24"/>
                <w:szCs w:val="24"/>
              </w:rPr>
            </w:pPr>
          </w:p>
        </w:tc>
        <w:tc>
          <w:tcPr>
            <w:tcW w:w="130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不收费</w:t>
            </w:r>
          </w:p>
        </w:tc>
        <w:tc>
          <w:tcPr>
            <w:tcW w:w="132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100元/件</w:t>
            </w:r>
          </w:p>
        </w:tc>
        <w:tc>
          <w:tcPr>
            <w:tcW w:w="1275" w:type="dxa"/>
            <w:vMerge w:val="continue"/>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suppressLineNumbers w:val="0"/>
              <w:kinsoku/>
              <w:overflowPunct/>
              <w:topLinePunct w:val="0"/>
              <w:autoSpaceDN/>
              <w:bidi w:val="0"/>
              <w:adjustRightInd/>
              <w:snapToGrid/>
              <w:spacing w:before="0" w:beforeAutospacing="0" w:after="0" w:afterAutospacing="0" w:line="360" w:lineRule="exact"/>
              <w:ind w:left="0" w:right="0"/>
              <w:textAlignment w:val="auto"/>
              <w:rPr>
                <w:rFonts w:hint="default" w:ascii="Times New Roman" w:hAnsi="Times New Roman" w:eastAsia="方正仿宋_GBK" w:cs="Times New Roman"/>
                <w:sz w:val="24"/>
                <w:szCs w:val="24"/>
              </w:rPr>
            </w:pPr>
          </w:p>
        </w:tc>
        <w:tc>
          <w:tcPr>
            <w:tcW w:w="1335"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不收费</w:t>
            </w:r>
          </w:p>
        </w:tc>
        <w:tc>
          <w:tcPr>
            <w:tcW w:w="1278"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10元/页</w:t>
            </w:r>
          </w:p>
        </w:tc>
        <w:tc>
          <w:tcPr>
            <w:tcW w:w="1137"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20元/页</w:t>
            </w:r>
          </w:p>
        </w:tc>
        <w:tc>
          <w:tcPr>
            <w:tcW w:w="111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b w:val="0"/>
                <w:bCs w:val="0"/>
                <w:color w:val="424242"/>
                <w:kern w:val="0"/>
                <w:sz w:val="24"/>
                <w:szCs w:val="24"/>
              </w:rPr>
            </w:pPr>
            <w:r>
              <w:rPr>
                <w:rFonts w:hint="default" w:ascii="Times New Roman" w:hAnsi="Times New Roman" w:eastAsia="方正仿宋_GBK" w:cs="Times New Roman"/>
                <w:b w:val="0"/>
                <w:bCs w:val="0"/>
                <w:i w:val="0"/>
                <w:iCs w:val="0"/>
                <w:caps w:val="0"/>
                <w:color w:val="424242"/>
                <w:spacing w:val="0"/>
                <w:kern w:val="0"/>
                <w:sz w:val="24"/>
                <w:szCs w:val="24"/>
                <w:lang w:val="en-US" w:eastAsia="zh-CN" w:bidi="ar"/>
              </w:rPr>
              <w:t>40元/页</w:t>
            </w:r>
          </w:p>
        </w:tc>
      </w:tr>
    </w:tbl>
    <w:p>
      <w:pPr>
        <w:jc w:val="center"/>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sz w:val="44"/>
          <w:szCs w:val="44"/>
        </w:rPr>
        <w:t>政府信息公开信息处理费收费标准</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B909C37-290C-49EA-B147-6E56DA3CA44C}"/>
  </w:font>
  <w:font w:name="方正小标宋_GBK">
    <w:panose1 w:val="03000509000000000000"/>
    <w:charset w:val="86"/>
    <w:family w:val="auto"/>
    <w:pitch w:val="default"/>
    <w:sig w:usb0="00000001" w:usb1="080E0000" w:usb2="00000000" w:usb3="00000000" w:csb0="00040000" w:csb1="00000000"/>
    <w:embedRegular r:id="rId2" w:fontKey="{E690BBA7-46F4-48EC-88C1-4033AC36E09E}"/>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B4B263BB-9C38-438B-975B-534A333AAA2A}"/>
  </w:font>
  <w:font w:name="方正仿宋_GB2312">
    <w:panose1 w:val="02000000000000000000"/>
    <w:charset w:val="86"/>
    <w:family w:val="auto"/>
    <w:pitch w:val="default"/>
    <w:sig w:usb0="A00002BF" w:usb1="184F6CFA" w:usb2="00000012" w:usb3="00000000" w:csb0="00040001" w:csb1="00000000"/>
    <w:embedRegular r:id="rId4" w:fontKey="{24E7D55C-E6E8-44CD-9C75-D4F9C5DC5C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ZkNjYxM2YzMDkyYzg5YmVkZWEzNzY2YmI1OGQifQ=="/>
    <w:docVar w:name="KSO_WPS_MARK_KEY" w:val="0824073d-9938-4250-9d48-28c2e17aaf0e"/>
  </w:docVars>
  <w:rsids>
    <w:rsidRoot w:val="3E3B2FBC"/>
    <w:rsid w:val="27295EDA"/>
    <w:rsid w:val="3E3B2FBC"/>
    <w:rsid w:val="7B62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2024-12-31T12:55:00Z</dcterms:created>
  <dc:creator>王刚瑾</dc:creator>
  <cp:lastModifiedBy>王刚瑾</cp:lastModifiedBy>
  <dcterms:modified xsi:type="dcterms:W3CDTF">2025-01-02T00:57:23Z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7DC5606FC94C4E2391E69ABF6D89B355_11</vt:lpwstr>
  </property>
</Properties>
</file>