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67E3B1">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14:paraId="1096D4F8">
      <w:pPr>
        <w:snapToGrid w:val="0"/>
        <w:spacing w:line="317" w:lineRule="auto"/>
        <w:jc w:val="center"/>
        <w:rPr>
          <w:rFonts w:ascii="微软雅黑" w:eastAsia="微软雅黑"/>
          <w:sz w:val="44"/>
          <w:szCs w:val="44"/>
        </w:rPr>
      </w:pPr>
      <w:r>
        <w:rPr>
          <w:rFonts w:hint="eastAsia" w:ascii="微软雅黑" w:eastAsia="微软雅黑"/>
          <w:sz w:val="44"/>
          <w:szCs w:val="44"/>
        </w:rPr>
        <w:t>云南省</w:t>
      </w:r>
      <w:r>
        <w:rPr>
          <w:rFonts w:hint="eastAsia" w:ascii="微软雅黑" w:eastAsia="微软雅黑"/>
          <w:sz w:val="44"/>
          <w:szCs w:val="44"/>
          <w:lang w:val="en-US" w:eastAsia="zh-CN"/>
        </w:rPr>
        <w:t>富源县</w:t>
      </w:r>
      <w:r>
        <w:rPr>
          <w:rFonts w:hint="eastAsia" w:ascii="微软雅黑" w:eastAsia="微软雅黑"/>
          <w:sz w:val="44"/>
          <w:szCs w:val="44"/>
        </w:rPr>
        <w:t>烟草制品零售点</w:t>
      </w:r>
    </w:p>
    <w:p w14:paraId="0574F581">
      <w:pPr>
        <w:snapToGrid w:val="0"/>
        <w:spacing w:line="317" w:lineRule="auto"/>
        <w:jc w:val="center"/>
        <w:rPr>
          <w:rFonts w:ascii="微软雅黑" w:eastAsia="微软雅黑"/>
          <w:sz w:val="44"/>
          <w:szCs w:val="44"/>
        </w:rPr>
      </w:pPr>
      <w:r>
        <w:rPr>
          <w:rFonts w:hint="eastAsia" w:ascii="微软雅黑" w:eastAsia="微软雅黑"/>
          <w:sz w:val="44"/>
          <w:szCs w:val="44"/>
        </w:rPr>
        <w:t>间距测量规则及标准</w:t>
      </w:r>
    </w:p>
    <w:p w14:paraId="72FB0D4F"/>
    <w:p w14:paraId="243A796D">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根据云南省</w:t>
      </w:r>
      <w:r>
        <w:rPr>
          <w:rFonts w:hint="eastAsia" w:ascii="仿宋_GB2312" w:hAnsi="仿宋_GB2312" w:eastAsia="仿宋_GB2312" w:cs="仿宋_GB2312"/>
          <w:spacing w:val="10"/>
          <w:sz w:val="32"/>
          <w:szCs w:val="32"/>
          <w:lang w:val="en-US" w:eastAsia="zh-CN"/>
        </w:rPr>
        <w:t>富源县</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val="en-US" w:eastAsia="zh-CN"/>
        </w:rPr>
        <w:t>富源县</w:t>
      </w:r>
      <w:r>
        <w:rPr>
          <w:rFonts w:hint="eastAsia" w:ascii="仿宋_GB2312" w:hAnsi="仿宋_GB2312" w:eastAsia="仿宋_GB2312" w:cs="仿宋_GB2312"/>
          <w:spacing w:val="10"/>
          <w:sz w:val="32"/>
          <w:szCs w:val="32"/>
        </w:rPr>
        <w:t>烟草制品零售点合理布局规划》第七条中有关的“零售点间距”测量规则及标准如下：</w:t>
      </w:r>
    </w:p>
    <w:p w14:paraId="72510976">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14:paraId="29E4DCEB">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14:paraId="4BFBF052">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14:paraId="1B3F6889">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14:paraId="6A9A1513">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14:paraId="34277AC8">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w:t>
      </w:r>
      <w:r>
        <w:rPr>
          <w:rFonts w:hint="eastAsia" w:ascii="仿宋_GB2312" w:eastAsia="仿宋_GB2312"/>
          <w:sz w:val="32"/>
          <w:szCs w:val="32"/>
          <w:lang w:eastAsia="zh-CN"/>
        </w:rPr>
        <w:t>2%</w:t>
      </w:r>
      <w:r>
        <w:rPr>
          <w:rFonts w:hint="eastAsia" w:ascii="仿宋_GB2312" w:eastAsia="仿宋_GB2312"/>
          <w:sz w:val="32"/>
          <w:szCs w:val="32"/>
        </w:rPr>
        <w:t>范围以内的情况下，如果申请人、代理人或利害关系人对该结果有异议，可以申请重新实地测量一次，以最后一次测量结果为准。测量时，申请人或代理人、利害关系人和烟草专卖执法核查人员须同时全程在场。</w:t>
      </w:r>
    </w:p>
    <w:p w14:paraId="699E0E50">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14:paraId="6F981416">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14:paraId="384787F4">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14:paraId="2B376E23">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14:paraId="08890E08">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14:paraId="0CEC102B">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14:paraId="5734EB2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14:paraId="242D42F5">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14:paraId="776E6F0B">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14:paraId="62A6E21E">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z w:val="32"/>
          <w:szCs w:val="32"/>
          <w:lang w:eastAsia="zh-CN"/>
        </w:rPr>
        <w:t>一</w:t>
      </w:r>
      <w:r>
        <w:rPr>
          <w:rFonts w:hint="eastAsia" w:ascii="仿宋_GB2312" w:hAnsi="仿宋_GB2312" w:eastAsia="仿宋_GB2312" w:cs="仿宋_GB2312"/>
          <w:spacing w:val="10"/>
          <w:sz w:val="32"/>
          <w:szCs w:val="32"/>
        </w:rPr>
        <w:t>侧无障碍物，且道路无隔离带（包括无任何禁止通行交通标志的路段或有可通行的单虚线）和斑马线情形，可安全步行的。</w:t>
      </w:r>
    </w:p>
    <w:p w14:paraId="50415676">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14:paraId="759EDD08">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14:paraId="6A9278E2">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14:paraId="10347568">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14:paraId="4788E18F">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14:paraId="69420F6D">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14:paraId="2656B8B1">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bookmarkStart w:id="2" w:name="_GoBack"/>
      <w:bookmarkEnd w:id="2"/>
      <w:r>
        <w:rPr>
          <w:rFonts w:hint="eastAsia" w:ascii="仿宋_GB2312" w:hAnsi="仿宋_GB2312" w:eastAsia="仿宋_GB2312" w:cs="仿宋_GB2312"/>
          <w:spacing w:val="10"/>
          <w:sz w:val="32"/>
          <w:szCs w:val="32"/>
          <w:lang w:eastAsia="zh-CN"/>
        </w:rPr>
        <w:t>一侧</w:t>
      </w:r>
      <w:r>
        <w:rPr>
          <w:rFonts w:hint="eastAsia" w:ascii="仿宋_GB2312" w:hAnsi="仿宋_GB2312" w:eastAsia="仿宋_GB2312" w:cs="仿宋_GB2312"/>
          <w:spacing w:val="10"/>
          <w:sz w:val="32"/>
          <w:szCs w:val="32"/>
        </w:rPr>
        <w:t>存在障碍物的，测量按直角分段绕过障碍物测量，分段距离之和即为申请人的经营场所与最近零售点的经营场所间的距离。间距=a+b+c（如图4）</w:t>
      </w:r>
    </w:p>
    <w:p w14:paraId="67F82DF3">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14:paraId="3707A057">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14:paraId="3A9EF403">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14:paraId="7F03D8B9">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14:paraId="519E35E7">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14:paraId="3D86D32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14:paraId="785E8E9F">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14:paraId="5E9270B5">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14:paraId="32FAAED7">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14:paraId="561234D6">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14:paraId="1381E191">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14:paraId="78B739C2">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14:paraId="282FCFA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14:paraId="4D3CE240">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33C082C6">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14:paraId="7B65B161">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14:paraId="0F7824B2">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14:paraId="0F247B43">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14:paraId="05996E78">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14:paraId="6A2F9CC0">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14:paraId="3F9D6391">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14:paraId="14018825">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14:paraId="19D0BE73">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14:paraId="7826EE6E">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14:paraId="0895FC0F">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14:paraId="7CF375EE">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14:paraId="23002B4A">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14:paraId="58898B3A">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14:paraId="2FAF05A4">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14:paraId="687828B0">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14:paraId="64BDC60C">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14:paraId="0B0830E4">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14:paraId="5448580B">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14:paraId="76668731">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14:paraId="565D63E7">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14:paraId="57CE6D8F">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14:paraId="254DDC38">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14:paraId="37061EF2">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14:paraId="00DDF226">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14:paraId="5D9F532D">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14:paraId="4446C81B">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14:paraId="6A77822E">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14:paraId="05CA1EC4">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14:paraId="360B08F0">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14:paraId="478C05C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14:paraId="7E43A53A">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14:paraId="61C602FF">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14:paraId="046DE5D4">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0716ACC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14:paraId="0BEF92C2">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14:paraId="00DDD9FF">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14:paraId="5A00C3FB">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14:paraId="6A6B64CD">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14:paraId="3506F200">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14:paraId="667EC88F">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w:t>
      </w:r>
      <w:r>
        <w:rPr>
          <w:rFonts w:hint="eastAsia" w:ascii="仿宋_GB2312" w:hAnsi="仿宋_GB2312" w:eastAsia="仿宋_GB2312" w:cs="仿宋_GB2312"/>
          <w:spacing w:val="10"/>
          <w:sz w:val="32"/>
          <w:szCs w:val="32"/>
          <w:lang w:eastAsia="zh-CN"/>
        </w:rPr>
        <w:t>呈</w:t>
      </w:r>
      <w:r>
        <w:rPr>
          <w:rFonts w:hint="eastAsia" w:ascii="仿宋_GB2312" w:hAnsi="仿宋_GB2312" w:eastAsia="仿宋_GB2312" w:cs="仿宋_GB2312"/>
          <w:spacing w:val="10"/>
          <w:sz w:val="32"/>
          <w:szCs w:val="32"/>
        </w:rPr>
        <w:t>不规则形态，通过前述方法无法测量的，以可安全步行最短距离进行测量。</w:t>
      </w:r>
    </w:p>
    <w:p w14:paraId="7E92B278">
      <w:pPr>
        <w:rPr>
          <w:rFonts w:ascii="仿宋_GB2312" w:hAnsi="仿宋_GB2312" w:eastAsia="仿宋_GB2312" w:cs="仿宋_GB2312"/>
          <w:spacing w:val="10"/>
          <w:sz w:val="32"/>
          <w:szCs w:val="32"/>
        </w:rPr>
      </w:pPr>
    </w:p>
    <w:p w14:paraId="34240512">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10A08F8-8C9C-451D-9885-90E7B4567EF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script"/>
    <w:pitch w:val="default"/>
    <w:sig w:usb0="00000001" w:usb1="080E0000" w:usb2="0000000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7CD17C26-8AF8-45AC-B312-C0FA3DC7D92E}"/>
  </w:font>
  <w:font w:name="微软雅黑">
    <w:panose1 w:val="020B0503020204020204"/>
    <w:charset w:val="86"/>
    <w:family w:val="auto"/>
    <w:pitch w:val="default"/>
    <w:sig w:usb0="80000287" w:usb1="280F3C52" w:usb2="00000016" w:usb3="00000000" w:csb0="0004001F" w:csb1="00000000"/>
    <w:embedRegular r:id="rId3" w:fontKey="{2F1A4BF4-DE0C-4FBC-8E2E-B33C3F22B5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E61AE">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8BD35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hiYmYzNDk3ZGI0NWU3NjgyMDg0MDE2YjYxYTYxNDA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2524A5"/>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BC76E9"/>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微软雅黑" w:hAnsi="等线 Light" w:eastAsia="微软雅黑"/>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2403</Words>
  <Characters>2515</Characters>
  <Lines>18</Lines>
  <Paragraphs>5</Paragraphs>
  <TotalTime>14</TotalTime>
  <ScaleCrop>false</ScaleCrop>
  <LinksUpToDate>false</LinksUpToDate>
  <CharactersWithSpaces>2516</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徐颖</cp:lastModifiedBy>
  <dcterms:modified xsi:type="dcterms:W3CDTF">2024-11-28T02:28:19Z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F2B3D484C5B74A80901CBF8DED896298_13</vt:lpwstr>
  </property>
</Properties>
</file>