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38480A">
      <w:pPr>
        <w:bidi w:val="0"/>
        <w:jc w:val="center"/>
        <w:rPr>
          <w:rFonts w:hint="eastAsia" w:ascii="方正小标宋_GBK" w:hAnsi="方正小标宋_GBK" w:eastAsia="方正小标宋_GBK" w:cs="方正小标宋_GBK"/>
          <w:sz w:val="32"/>
          <w:szCs w:val="32"/>
        </w:rPr>
      </w:pPr>
      <w:bookmarkStart w:id="49" w:name="_GoBack"/>
      <w:bookmarkEnd w:id="49"/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升放无人驾驶自由气球、系留气球单位资质认定</w:t>
      </w:r>
    </w:p>
    <w:p w14:paraId="67D33AE4">
      <w:pPr>
        <w:bidi w:val="0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（设区的市级权限）首次申请【00015410400201】</w:t>
      </w:r>
    </w:p>
    <w:p w14:paraId="75311268">
      <w:p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</w:t>
      </w:r>
      <w:bookmarkStart w:id="0" w:name="一、基本要素"/>
      <w:bookmarkEnd w:id="0"/>
      <w:r>
        <w:rPr>
          <w:rFonts w:hint="eastAsia" w:ascii="黑体" w:hAnsi="黑体" w:eastAsia="黑体" w:cs="黑体"/>
          <w:sz w:val="32"/>
          <w:szCs w:val="32"/>
        </w:rPr>
        <w:t>、基本要素</w:t>
      </w:r>
    </w:p>
    <w:p w14:paraId="11D06B99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bookmarkStart w:id="1" w:name="1.行政许可事项名称及编码"/>
      <w:bookmarkEnd w:id="1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行政许可事项名称及编码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升放无人驾驶自由气球、系留气球单位资质认定【00015410400Y】</w:t>
      </w:r>
    </w:p>
    <w:p w14:paraId="3EE2E380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bookmarkStart w:id="2" w:name="2.行政许可事项子项名称及编码"/>
      <w:bookmarkEnd w:id="2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行政许可事项子项名称及编码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升放无人驾驶自由气球、系留气球单位资质认定（设区的市级权限）【000154104002】</w:t>
      </w:r>
    </w:p>
    <w:p w14:paraId="7B1E5310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bookmarkStart w:id="3" w:name="3.行政许可事项业务办理项名称及编码"/>
      <w:bookmarkEnd w:id="3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行政许可事项业务办理项名称及编码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升放无人驾驶自由气球、系留气球单位资质认定（设区的市级权限）首次申请(00015410400201)</w:t>
      </w:r>
    </w:p>
    <w:p w14:paraId="78C8B357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设定依据</w:t>
      </w:r>
      <w:bookmarkStart w:id="4" w:name="（1）《国务院对确需保留的行政审批项目设定行政许可的决定》第376项"/>
      <w:bookmarkEnd w:id="4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《国务院对确需保留的行政审批项目设定行政许可的决定》第376项</w:t>
      </w:r>
    </w:p>
    <w:p w14:paraId="16BE8CC1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bookmarkStart w:id="5" w:name="5.实施依据"/>
      <w:bookmarkEnd w:id="5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实施依</w:t>
      </w:r>
      <w:bookmarkStart w:id="6" w:name="（1）《升放气球管理办法》"/>
      <w:bookmarkEnd w:id="6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《升放气球管理办法》</w:t>
      </w:r>
    </w:p>
    <w:p w14:paraId="5A62B0DA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bookmarkStart w:id="7" w:name="6.监管依据"/>
      <w:bookmarkEnd w:id="7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</w:rPr>
        <w:t>监管依据</w:t>
      </w:r>
      <w:bookmarkStart w:id="8" w:name="（1）《升放气球管理办法》第二十、二十一、二十二、二十三、二十五、二十六、二十七"/>
      <w:bookmarkEnd w:id="8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《升放气球管理办法》第二十、二十一、二十二、二十三、二十五、二十六、二十七、二十八、二十九、三十条</w:t>
      </w:r>
    </w:p>
    <w:p w14:paraId="41673B01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</w:rPr>
        <w:t>实施机关：设区的市级气象主管机构</w:t>
      </w:r>
    </w:p>
    <w:p w14:paraId="39DAC723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8.</w:t>
      </w:r>
      <w:r>
        <w:rPr>
          <w:rFonts w:hint="eastAsia" w:ascii="仿宋_GB2312" w:hAnsi="仿宋_GB2312" w:eastAsia="仿宋_GB2312" w:cs="仿宋_GB2312"/>
          <w:sz w:val="32"/>
          <w:szCs w:val="32"/>
        </w:rPr>
        <w:t>审批层级：设区的市级</w:t>
      </w:r>
    </w:p>
    <w:p w14:paraId="7AC71710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9.</w:t>
      </w:r>
      <w:r>
        <w:rPr>
          <w:rFonts w:hint="eastAsia" w:ascii="仿宋_GB2312" w:hAnsi="仿宋_GB2312" w:eastAsia="仿宋_GB2312" w:cs="仿宋_GB2312"/>
          <w:sz w:val="32"/>
          <w:szCs w:val="32"/>
        </w:rPr>
        <w:t>行使层级：市级</w:t>
      </w:r>
    </w:p>
    <w:p w14:paraId="67CD7036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10.</w:t>
      </w:r>
      <w:r>
        <w:rPr>
          <w:rFonts w:hint="eastAsia" w:ascii="仿宋_GB2312" w:hAnsi="仿宋_GB2312" w:eastAsia="仿宋_GB2312" w:cs="仿宋_GB2312"/>
          <w:sz w:val="32"/>
          <w:szCs w:val="32"/>
        </w:rPr>
        <w:t>是否由审批机关受理：是</w:t>
      </w:r>
    </w:p>
    <w:p w14:paraId="547C30BE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11.</w:t>
      </w:r>
      <w:r>
        <w:rPr>
          <w:rFonts w:hint="eastAsia" w:ascii="仿宋_GB2312" w:hAnsi="仿宋_GB2312" w:eastAsia="仿宋_GB2312" w:cs="仿宋_GB2312"/>
          <w:sz w:val="32"/>
          <w:szCs w:val="32"/>
        </w:rPr>
        <w:t>受理层级：设区的市级</w:t>
      </w:r>
    </w:p>
    <w:p w14:paraId="18C92CB3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12.</w:t>
      </w:r>
      <w:r>
        <w:rPr>
          <w:rFonts w:hint="eastAsia" w:ascii="仿宋_GB2312" w:hAnsi="仿宋_GB2312" w:eastAsia="仿宋_GB2312" w:cs="仿宋_GB2312"/>
          <w:sz w:val="32"/>
          <w:szCs w:val="32"/>
        </w:rPr>
        <w:t>是否存在初审环节：否</w:t>
      </w:r>
    </w:p>
    <w:p w14:paraId="65AE8B15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13.</w:t>
      </w:r>
      <w:r>
        <w:rPr>
          <w:rFonts w:hint="eastAsia" w:ascii="仿宋_GB2312" w:hAnsi="仿宋_GB2312" w:eastAsia="仿宋_GB2312" w:cs="仿宋_GB2312"/>
          <w:sz w:val="32"/>
          <w:szCs w:val="32"/>
        </w:rPr>
        <w:t>初审层级：无</w:t>
      </w:r>
    </w:p>
    <w:p w14:paraId="0C543443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14.</w:t>
      </w:r>
      <w:r>
        <w:rPr>
          <w:rFonts w:hint="eastAsia" w:ascii="仿宋_GB2312" w:hAnsi="仿宋_GB2312" w:eastAsia="仿宋_GB2312" w:cs="仿宋_GB2312"/>
          <w:sz w:val="32"/>
          <w:szCs w:val="32"/>
        </w:rPr>
        <w:t>对应政务服务事项国家级基本目录名称：升放无人驾驶自由气球、系留气球单位资质认定</w:t>
      </w:r>
    </w:p>
    <w:p w14:paraId="6E13D319">
      <w:pPr>
        <w:bidi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</w:t>
      </w:r>
      <w:bookmarkStart w:id="9" w:name="二、行政许可事项类型"/>
      <w:bookmarkEnd w:id="9"/>
      <w:r>
        <w:rPr>
          <w:rFonts w:hint="eastAsia" w:ascii="黑体" w:hAnsi="黑体" w:eastAsia="黑体" w:cs="黑体"/>
          <w:sz w:val="32"/>
          <w:szCs w:val="32"/>
        </w:rPr>
        <w:t>、行政许可事项类型</w:t>
      </w:r>
    </w:p>
    <w:p w14:paraId="27DAAB9B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资格型</w:t>
      </w:r>
    </w:p>
    <w:p w14:paraId="462850A3">
      <w:p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</w:t>
      </w:r>
      <w:bookmarkStart w:id="10" w:name="三、行政许可条件"/>
      <w:bookmarkEnd w:id="10"/>
      <w:r>
        <w:rPr>
          <w:rFonts w:hint="eastAsia" w:ascii="黑体" w:hAnsi="黑体" w:eastAsia="黑体" w:cs="黑体"/>
          <w:sz w:val="32"/>
          <w:szCs w:val="32"/>
        </w:rPr>
        <w:t>、行政许可条件</w:t>
      </w:r>
    </w:p>
    <w:p w14:paraId="7F11A201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bookmarkStart w:id="11" w:name="1.准予行政许可的条件"/>
      <w:bookmarkEnd w:id="11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准予行政许可的条件</w:t>
      </w:r>
    </w:p>
    <w:p w14:paraId="013ABBE4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有独立的法人资格；2.有固定的工作场所，危险气体的运输、使用和存放必须符合国家有关规定；3.有4名以上作业人员，其中至少有1名具有相关专业中级以上技术职称的人员；4.有必需的器材和设备；5.有健全的安全保障制度和措施。</w:t>
      </w:r>
    </w:p>
    <w:p w14:paraId="42F8E792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bookmarkStart w:id="12" w:name="2.规定行政许可条件的依据"/>
      <w:bookmarkEnd w:id="12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规定行政许可条件的依据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 w14:paraId="74504A17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《升放气球管理办法》第七条申请升放气球资质的单位应当具备下列条件：</w:t>
      </w:r>
    </w:p>
    <w:p w14:paraId="18AB809C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(一)有独立的法人资格；</w:t>
      </w:r>
    </w:p>
    <w:p w14:paraId="360A2C1C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(二)有固定的工作场所，危险气体的运输、使用和存放必须符合国家规定；</w:t>
      </w:r>
    </w:p>
    <w:p w14:paraId="7561C4AB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(三)有四名以上作业人员，其中至少有一名具有相关专业中级以上技术职称的人员；</w:t>
      </w:r>
    </w:p>
    <w:p w14:paraId="33ED9384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(四)有必需的器材和设备；</w:t>
      </w:r>
    </w:p>
    <w:p w14:paraId="1F301009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(五)有健全的安全保障制度和措施。</w:t>
      </w:r>
    </w:p>
    <w:p w14:paraId="52D7FBAB">
      <w:pPr>
        <w:bidi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</w:t>
      </w:r>
      <w:bookmarkStart w:id="13" w:name="四、行政许可服务对象类型与改革举措"/>
      <w:bookmarkEnd w:id="13"/>
      <w:r>
        <w:rPr>
          <w:rFonts w:hint="eastAsia" w:ascii="黑体" w:hAnsi="黑体" w:eastAsia="黑体" w:cs="黑体"/>
          <w:sz w:val="32"/>
          <w:szCs w:val="32"/>
        </w:rPr>
        <w:t>、行政许可服务对象类型与改革举措</w:t>
      </w:r>
    </w:p>
    <w:p w14:paraId="5A7462FC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服务对象类型：企业法人,事业单位法人</w:t>
      </w:r>
    </w:p>
    <w:p w14:paraId="1635C833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是否为涉企许可事项：是</w:t>
      </w:r>
    </w:p>
    <w:p w14:paraId="452027C5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涉企经营许可事项名称：升放无人驾驶自由气球、系留气球单位资质认定</w:t>
      </w:r>
    </w:p>
    <w:p w14:paraId="430368E0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许可证件名称：升放气球资质证</w:t>
      </w:r>
    </w:p>
    <w:p w14:paraId="123A8ABA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改革方式：优化审批服务</w:t>
      </w:r>
    </w:p>
    <w:p w14:paraId="62A55517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</w:rPr>
        <w:t>具体改革举措</w:t>
      </w:r>
    </w:p>
    <w:p w14:paraId="29B46516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1.不再要求申请人提供法人证书或营业执照原件。2.实现申请、审批全程网上办理并在网上公布审批程序、受理条件、办理标准。3.将承诺审批时限由20个工作日压减至8个工作日。</w:t>
      </w:r>
    </w:p>
    <w:p w14:paraId="2E49CC85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加强事中事后监管措施</w:t>
      </w:r>
    </w:p>
    <w:p w14:paraId="3ED4B944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通过“双随机、一公开”监管、跨部门联合监管等方式，对升放无人驾驶自由气球、系留气球活动实施严格监管，发现违法违规行为要依法查处并公开结果。2.建立健全监管规则和标准，强化市场主体责任。3.加强对升放气球行为的法律法规和科普宣传，提高升放单位和社会公众的安全意识。4.依法及时处理投诉举报。</w:t>
      </w:r>
    </w:p>
    <w:p w14:paraId="586175CC">
      <w:pPr>
        <w:bidi w:val="0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</w:t>
      </w:r>
      <w:bookmarkStart w:id="14" w:name="五、申请材料"/>
      <w:bookmarkEnd w:id="14"/>
      <w:r>
        <w:rPr>
          <w:rFonts w:hint="eastAsia" w:ascii="黑体" w:hAnsi="黑体" w:eastAsia="黑体" w:cs="黑体"/>
          <w:sz w:val="32"/>
          <w:szCs w:val="32"/>
        </w:rPr>
        <w:t>、申请材料</w:t>
      </w:r>
    </w:p>
    <w:p w14:paraId="45FCB686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bookmarkStart w:id="15" w:name="1.申请材料名称"/>
      <w:bookmarkEnd w:id="15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申请材料名称</w:t>
      </w:r>
    </w:p>
    <w:p w14:paraId="72E1FAE6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(一)升放气球资质证申请表；</w:t>
      </w:r>
    </w:p>
    <w:p w14:paraId="711BA412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(二)作业人员登记表；</w:t>
      </w:r>
    </w:p>
    <w:p w14:paraId="4B9C5CA4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(三)升放气球的器材和设备清单；</w:t>
      </w:r>
    </w:p>
    <w:p w14:paraId="1DE333BC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(四)安全保障责任制度和措施。</w:t>
      </w:r>
    </w:p>
    <w:p w14:paraId="77537328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bookmarkStart w:id="16" w:name="2.规定申请材料的依据"/>
      <w:bookmarkEnd w:id="16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规定申请材料的依据</w:t>
      </w:r>
    </w:p>
    <w:p w14:paraId="6A20553A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《升放气球管理办法》第八条申请从事升放气球活动的单位，应当向所在地的设区的市级或者省、自治区、直辖市气象主管机构（以下简称认定机构）提出申请，并提供下列申请材料：</w:t>
      </w:r>
    </w:p>
    <w:p w14:paraId="1FAB29B0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(一)升放气球资质证申请表；</w:t>
      </w:r>
    </w:p>
    <w:p w14:paraId="1E1CEA9A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(二)作业人员登记表；</w:t>
      </w:r>
    </w:p>
    <w:p w14:paraId="4BC4F403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(三)升放气球的器材和设备清单；</w:t>
      </w:r>
    </w:p>
    <w:p w14:paraId="23E0068F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(四)安全保障责任制度和措施；</w:t>
      </w:r>
    </w:p>
    <w:p w14:paraId="3B19824F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(五)法律、法规规定的其他材料。</w:t>
      </w:r>
    </w:p>
    <w:p w14:paraId="2A0D81EB">
      <w:pPr>
        <w:bidi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</w:t>
      </w:r>
      <w:bookmarkStart w:id="17" w:name="六、中介服务"/>
      <w:bookmarkEnd w:id="17"/>
      <w:r>
        <w:rPr>
          <w:rFonts w:hint="eastAsia" w:ascii="黑体" w:hAnsi="黑体" w:eastAsia="黑体" w:cs="黑体"/>
          <w:sz w:val="32"/>
          <w:szCs w:val="32"/>
        </w:rPr>
        <w:t>、中介服务</w:t>
      </w:r>
    </w:p>
    <w:p w14:paraId="728906F6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有无法定中介服务事项：无</w:t>
      </w:r>
    </w:p>
    <w:p w14:paraId="4DD97FA0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中介服务事项名称：无</w:t>
      </w:r>
    </w:p>
    <w:p w14:paraId="2668FC0D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设定中介服务事项的依据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无</w:t>
      </w:r>
    </w:p>
    <w:p w14:paraId="4DB95908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提供中介服务的机构：无</w:t>
      </w:r>
    </w:p>
    <w:p w14:paraId="432D5460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中介服务事项的收费性质：无</w:t>
      </w:r>
    </w:p>
    <w:p w14:paraId="030930E3">
      <w:p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七</w:t>
      </w:r>
      <w:bookmarkStart w:id="18" w:name="七、审批程序"/>
      <w:bookmarkEnd w:id="18"/>
      <w:r>
        <w:rPr>
          <w:rFonts w:hint="eastAsia" w:ascii="黑体" w:hAnsi="黑体" w:eastAsia="黑体" w:cs="黑体"/>
          <w:sz w:val="32"/>
          <w:szCs w:val="32"/>
        </w:rPr>
        <w:t>、审批程序</w:t>
      </w:r>
    </w:p>
    <w:p w14:paraId="373F070A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bookmarkStart w:id="19" w:name="1.办理行政许可的程序环节"/>
      <w:bookmarkEnd w:id="19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办理行政许可的程序环节</w:t>
      </w:r>
    </w:p>
    <w:p w14:paraId="5514A136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（1）申请人申请；</w:t>
      </w:r>
    </w:p>
    <w:p w14:paraId="1432B605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（2）审批机构受理/不予受理；</w:t>
      </w:r>
    </w:p>
    <w:p w14:paraId="5259EFF2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（3）现场核查</w:t>
      </w:r>
    </w:p>
    <w:p w14:paraId="06E10D4C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（4）审批机构审查；</w:t>
      </w:r>
    </w:p>
    <w:p w14:paraId="67E1533D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（5）决定核发许可证/不予核发许可证。</w:t>
      </w:r>
    </w:p>
    <w:p w14:paraId="6F11A61D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bookmarkStart w:id="20" w:name="2.规定行政许可程序的依据"/>
      <w:bookmarkEnd w:id="20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规定行政许可程序的依据</w:t>
      </w:r>
    </w:p>
    <w:p w14:paraId="477F26BE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《升放气球管理办法》第九条认定机构受理申请后，应当根据需要，指派两名以上工作人员进行现场核查。</w:t>
      </w:r>
    </w:p>
    <w:p w14:paraId="346E7E51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升放气球管理办法》第十条申请单位的申请符合法定条件的，认定机构应当自受理申请之日起二十日内作出行政许可决定，自决定之日起十日内向申请单位颁发加盖认定机构印章的《升放气球资质证》。二十日内不能作出决定的，经本级气象主管机构负责人批准，可以延长十日，并将延长期限的理由告知申请人。</w:t>
      </w:r>
    </w:p>
    <w:p w14:paraId="4298C34A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认定机构依法作出不予行政许可的书面决定的，应当说明理由，并告知申请单位依法享有申请行政复议或者提起行政诉讼的权利。</w:t>
      </w:r>
    </w:p>
    <w:p w14:paraId="70B4FEAD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是否需要现场勘验：是</w:t>
      </w:r>
    </w:p>
    <w:p w14:paraId="3A8581D8">
      <w:pPr>
        <w:bidi w:val="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DCF6D4D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是否需要组织听证：否</w:t>
      </w:r>
    </w:p>
    <w:p w14:paraId="322BB63A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是否需要招标、拍卖、挂牌交易：否</w:t>
      </w:r>
    </w:p>
    <w:p w14:paraId="3E191DC2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</w:rPr>
        <w:t>是否需要检验、检测、检疫：否</w:t>
      </w:r>
    </w:p>
    <w:p w14:paraId="4AD525D7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</w:rPr>
        <w:t>是否需要鉴定：否</w:t>
      </w:r>
    </w:p>
    <w:p w14:paraId="7B0C83A7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8.</w:t>
      </w:r>
      <w:r>
        <w:rPr>
          <w:rFonts w:hint="eastAsia" w:ascii="仿宋_GB2312" w:hAnsi="仿宋_GB2312" w:eastAsia="仿宋_GB2312" w:cs="仿宋_GB2312"/>
          <w:sz w:val="32"/>
          <w:szCs w:val="32"/>
        </w:rPr>
        <w:t>是否需要专家评审：否</w:t>
      </w:r>
    </w:p>
    <w:p w14:paraId="20BF3B6A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9.</w:t>
      </w:r>
      <w:r>
        <w:rPr>
          <w:rFonts w:hint="eastAsia" w:ascii="仿宋_GB2312" w:hAnsi="仿宋_GB2312" w:eastAsia="仿宋_GB2312" w:cs="仿宋_GB2312"/>
          <w:sz w:val="32"/>
          <w:szCs w:val="32"/>
        </w:rPr>
        <w:t>是否需要向社会公示：否</w:t>
      </w:r>
    </w:p>
    <w:p w14:paraId="39EDF858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10.</w:t>
      </w:r>
      <w:r>
        <w:rPr>
          <w:rFonts w:hint="eastAsia" w:ascii="仿宋_GB2312" w:hAnsi="仿宋_GB2312" w:eastAsia="仿宋_GB2312" w:cs="仿宋_GB2312"/>
          <w:sz w:val="32"/>
          <w:szCs w:val="32"/>
        </w:rPr>
        <w:t>是否实行告知承诺办理：否</w:t>
      </w:r>
    </w:p>
    <w:p w14:paraId="7866CBE5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11.</w:t>
      </w:r>
      <w:r>
        <w:rPr>
          <w:rFonts w:hint="eastAsia" w:ascii="仿宋_GB2312" w:hAnsi="仿宋_GB2312" w:eastAsia="仿宋_GB2312" w:cs="仿宋_GB2312"/>
          <w:sz w:val="32"/>
          <w:szCs w:val="32"/>
        </w:rPr>
        <w:t>审批机关是否委托服务机构开展技术性服务：否</w:t>
      </w:r>
    </w:p>
    <w:p w14:paraId="7CEACC07">
      <w:p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八</w:t>
      </w:r>
      <w:bookmarkStart w:id="21" w:name="八、受理和审批时限"/>
      <w:bookmarkEnd w:id="21"/>
      <w:r>
        <w:rPr>
          <w:rFonts w:hint="eastAsia" w:ascii="黑体" w:hAnsi="黑体" w:eastAsia="黑体" w:cs="黑体"/>
          <w:sz w:val="32"/>
          <w:szCs w:val="32"/>
        </w:rPr>
        <w:t>、受理和审批时限</w:t>
      </w:r>
    </w:p>
    <w:p w14:paraId="0161DB6B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承诺受理时限：5个工作日</w:t>
      </w:r>
      <w:bookmarkStart w:id="22" w:name="2.法定审批时限：20个工作日"/>
      <w:bookmarkEnd w:id="22"/>
      <w:bookmarkStart w:id="23" w:name="2.法定审批时限：20个工作日"/>
      <w:bookmarkEnd w:id="23"/>
    </w:p>
    <w:p w14:paraId="51D8EB9F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法定审批时限：20个工作日</w:t>
      </w:r>
    </w:p>
    <w:p w14:paraId="23258F73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bookmarkStart w:id="24" w:name="3.规定法定审批时限依据"/>
      <w:bookmarkEnd w:id="24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规定法定审批时限依据</w:t>
      </w:r>
    </w:p>
    <w:p w14:paraId="1E904D5A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升放气球管理办法》第十条申请单位的申请符合法定条件的，认定机构应当自受理申请之日起二十日内作出行政许可决定，自决定之日起十日内向申请单位颁发加盖认定机构印章的《升放气球资质证》。二十日内不能作出决定的，经本级气象主管机构负责人批准，可以延长十日，并将延长期限的理由告知申请人。</w:t>
      </w:r>
    </w:p>
    <w:p w14:paraId="67A1773E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承诺审批时限：8个工作日</w:t>
      </w:r>
    </w:p>
    <w:p w14:paraId="67D287F8">
      <w:pPr>
        <w:bidi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九</w:t>
      </w:r>
      <w:bookmarkStart w:id="25" w:name="九、收费"/>
      <w:bookmarkEnd w:id="25"/>
      <w:r>
        <w:rPr>
          <w:rFonts w:hint="eastAsia" w:ascii="黑体" w:hAnsi="黑体" w:eastAsia="黑体" w:cs="黑体"/>
          <w:sz w:val="32"/>
          <w:szCs w:val="32"/>
        </w:rPr>
        <w:t>、收费</w:t>
      </w:r>
    </w:p>
    <w:p w14:paraId="23AE6B0A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办理行政许可是否收费：否</w:t>
      </w:r>
    </w:p>
    <w:p w14:paraId="370ECBB0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bookmarkStart w:id="26" w:name="2.收费项目的名称、收费项目的标准、设定收费项目的依据、规定收费标准的依据"/>
      <w:bookmarkEnd w:id="26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收费项目的名称、收费项目的标准、设定收费项目的依据、规定收费标准的依据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无</w:t>
      </w:r>
    </w:p>
    <w:p w14:paraId="28156B07">
      <w:p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十</w:t>
      </w:r>
      <w:bookmarkStart w:id="27" w:name="十、行政许可证件"/>
      <w:bookmarkEnd w:id="27"/>
      <w:r>
        <w:rPr>
          <w:rFonts w:hint="eastAsia" w:ascii="黑体" w:hAnsi="黑体" w:eastAsia="黑体" w:cs="黑体"/>
          <w:sz w:val="32"/>
          <w:szCs w:val="32"/>
        </w:rPr>
        <w:t>、行政许可证件</w:t>
      </w:r>
    </w:p>
    <w:p w14:paraId="467952EC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bookmarkStart w:id="28" w:name="1.审批结果类型：证照"/>
      <w:bookmarkEnd w:id="28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审批结果类型：证照</w:t>
      </w:r>
    </w:p>
    <w:p w14:paraId="26913282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审批结果名称：升放气球资质证</w:t>
      </w:r>
    </w:p>
    <w:p w14:paraId="47900CBA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审批结果的有效期限：5年</w:t>
      </w:r>
    </w:p>
    <w:p w14:paraId="03AB9A20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bookmarkStart w:id="29" w:name="4.规定审批结果有效期限的依据"/>
      <w:bookmarkEnd w:id="29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规定审批结果有效期限的依据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《升放气球管理办法》第十一条《升放气球资质证》有效期为五年，并实行年度报告制度。</w:t>
      </w:r>
    </w:p>
    <w:p w14:paraId="1F3A6DFF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是否需要办理审批结果变更手续：否</w:t>
      </w:r>
    </w:p>
    <w:p w14:paraId="1D429FF7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bookmarkStart w:id="30" w:name="6.办理审批结果变更手续的要求"/>
      <w:bookmarkEnd w:id="30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</w:rPr>
        <w:t>办理审批结果变更手续的要求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无</w:t>
      </w:r>
    </w:p>
    <w:p w14:paraId="424AF311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</w:rPr>
        <w:t>是否需要办理审批结果延续手续：是</w:t>
      </w:r>
    </w:p>
    <w:p w14:paraId="282DBEA7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bookmarkStart w:id="31" w:name="8.办理审批结果延续手续的要求"/>
      <w:bookmarkEnd w:id="31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8.</w:t>
      </w:r>
      <w:r>
        <w:rPr>
          <w:rFonts w:hint="eastAsia" w:ascii="仿宋_GB2312" w:hAnsi="仿宋_GB2312" w:eastAsia="仿宋_GB2312" w:cs="仿宋_GB2312"/>
          <w:sz w:val="32"/>
          <w:szCs w:val="32"/>
        </w:rPr>
        <w:t>办理审批结果延续手续的要求取得升放气球资质的单位，应当在资质有效期届满三十日前向原认定机构申请延续。认定机构应当根据该单位的申请、年度报告及信用管理等有关情况，在有效期届满前作出是否准予延续的决定。</w:t>
      </w:r>
    </w:p>
    <w:p w14:paraId="3B5EDC30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bookmarkStart w:id="32" w:name="9.审批结果的有效地域范围"/>
      <w:bookmarkEnd w:id="32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9.</w:t>
      </w:r>
      <w:r>
        <w:rPr>
          <w:rFonts w:hint="eastAsia" w:ascii="仿宋_GB2312" w:hAnsi="仿宋_GB2312" w:eastAsia="仿宋_GB2312" w:cs="仿宋_GB2312"/>
          <w:sz w:val="32"/>
          <w:szCs w:val="32"/>
        </w:rPr>
        <w:t>审批结果的有效地域范围</w:t>
      </w:r>
      <w:bookmarkStart w:id="33" w:name="全国"/>
      <w:bookmarkEnd w:id="33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全国</w:t>
      </w:r>
    </w:p>
    <w:p w14:paraId="6E90D9CB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bookmarkStart w:id="34" w:name="10.规定审批结果有效地域范围的依据"/>
      <w:bookmarkEnd w:id="34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.规定审批结果有效地域范围的依据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《升放气球管理办法》第三条在中华人民共和国境内从事升放气球活动，应当遵守本办法及国家其他有关规定。十一</w:t>
      </w:r>
      <w:bookmarkStart w:id="35" w:name="十一、行政许可数量限制"/>
      <w:bookmarkEnd w:id="35"/>
      <w:r>
        <w:rPr>
          <w:rFonts w:hint="eastAsia" w:ascii="仿宋_GB2312" w:hAnsi="仿宋_GB2312" w:eastAsia="仿宋_GB2312" w:cs="仿宋_GB2312"/>
          <w:sz w:val="32"/>
          <w:szCs w:val="32"/>
        </w:rPr>
        <w:t>、行政许可数量限制</w:t>
      </w:r>
    </w:p>
    <w:p w14:paraId="4A3BB078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1.有无行政许可数量限制：无</w:t>
      </w:r>
    </w:p>
    <w:p w14:paraId="4124C4E8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bookmarkStart w:id="36" w:name="2.公布数量限制的方式：无"/>
      <w:bookmarkEnd w:id="36"/>
      <w:r>
        <w:rPr>
          <w:rFonts w:hint="eastAsia" w:ascii="仿宋_GB2312" w:hAnsi="仿宋_GB2312" w:eastAsia="仿宋_GB2312" w:cs="仿宋_GB2312"/>
          <w:sz w:val="32"/>
          <w:szCs w:val="32"/>
        </w:rPr>
        <w:t>2.公布数量限制的方式：无</w:t>
      </w:r>
    </w:p>
    <w:p w14:paraId="771DAA1E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bookmarkStart w:id="37" w:name="3.公布数量限制的周期：无"/>
      <w:bookmarkEnd w:id="37"/>
      <w:r>
        <w:rPr>
          <w:rFonts w:hint="eastAsia" w:ascii="仿宋_GB2312" w:hAnsi="仿宋_GB2312" w:eastAsia="仿宋_GB2312" w:cs="仿宋_GB2312"/>
          <w:sz w:val="32"/>
          <w:szCs w:val="32"/>
        </w:rPr>
        <w:t>3.公布数量限制的周期：无</w:t>
      </w:r>
    </w:p>
    <w:p w14:paraId="6DFCC549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4.在数量限制条件下实施行政许可的方式：无</w:t>
      </w:r>
    </w:p>
    <w:p w14:paraId="20AC32B4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5.规定在数量限制条件下实施行政许可方式的依据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无</w:t>
      </w:r>
    </w:p>
    <w:p w14:paraId="476652F9">
      <w:p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十二</w:t>
      </w:r>
      <w:bookmarkStart w:id="38" w:name="十二、行政许可后年检"/>
      <w:bookmarkEnd w:id="38"/>
      <w:r>
        <w:rPr>
          <w:rFonts w:hint="eastAsia" w:ascii="黑体" w:hAnsi="黑体" w:eastAsia="黑体" w:cs="黑体"/>
          <w:sz w:val="32"/>
          <w:szCs w:val="32"/>
        </w:rPr>
        <w:t>、行政许可后年检</w:t>
      </w:r>
    </w:p>
    <w:p w14:paraId="5A688C5D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有无年检要求：无</w:t>
      </w:r>
    </w:p>
    <w:p w14:paraId="18EAB5E0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bookmarkStart w:id="39" w:name="2.设定年检要求的依据"/>
      <w:bookmarkEnd w:id="39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设定年检要求的依据</w:t>
      </w:r>
      <w:bookmarkStart w:id="40" w:name="无"/>
      <w:bookmarkEnd w:id="40"/>
      <w:r>
        <w:rPr>
          <w:rFonts w:hint="eastAsia" w:ascii="仿宋_GB2312" w:hAnsi="仿宋_GB2312" w:eastAsia="仿宋_GB2312" w:cs="仿宋_GB2312"/>
          <w:sz w:val="32"/>
          <w:szCs w:val="32"/>
        </w:rPr>
        <w:t>无</w:t>
      </w:r>
    </w:p>
    <w:p w14:paraId="790EE68F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bookmarkStart w:id="41" w:name="3.年检周期：无"/>
      <w:bookmarkEnd w:id="41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年检周期：无</w:t>
      </w:r>
    </w:p>
    <w:p w14:paraId="294BEA67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年检是否要求报送材料：无</w:t>
      </w:r>
    </w:p>
    <w:p w14:paraId="6D7B39BB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年检报送材料名称：无</w:t>
      </w:r>
    </w:p>
    <w:p w14:paraId="65E02B37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</w:rPr>
        <w:t>年检是否收费：无</w:t>
      </w:r>
    </w:p>
    <w:p w14:paraId="6DEC5371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</w:rPr>
        <w:t>年检收费项目的名称、年检收费项目的标准、设定年检收费项目的依据、规定年检项目收费标准的依据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无</w:t>
      </w:r>
    </w:p>
    <w:p w14:paraId="370B1011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bookmarkStart w:id="42" w:name="8.通过年检的证明或者标志：无"/>
      <w:bookmarkEnd w:id="42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8.</w:t>
      </w:r>
      <w:r>
        <w:rPr>
          <w:rFonts w:hint="eastAsia" w:ascii="仿宋_GB2312" w:hAnsi="仿宋_GB2312" w:eastAsia="仿宋_GB2312" w:cs="仿宋_GB2312"/>
          <w:sz w:val="32"/>
          <w:szCs w:val="32"/>
        </w:rPr>
        <w:t>通过年检的证明或者标志：无</w:t>
      </w:r>
    </w:p>
    <w:p w14:paraId="021C2214">
      <w:pPr>
        <w:bidi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十三</w:t>
      </w:r>
      <w:bookmarkStart w:id="43" w:name="十三、行政许可后年报"/>
      <w:bookmarkEnd w:id="43"/>
      <w:r>
        <w:rPr>
          <w:rFonts w:hint="eastAsia" w:ascii="黑体" w:hAnsi="黑体" w:eastAsia="黑体" w:cs="黑体"/>
          <w:sz w:val="32"/>
          <w:szCs w:val="32"/>
        </w:rPr>
        <w:t>、行政许可后年报</w:t>
      </w:r>
    </w:p>
    <w:p w14:paraId="2CFCEECE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有无年报要求：有</w:t>
      </w:r>
    </w:p>
    <w:p w14:paraId="6EB40B41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年报报送材料名称：升放气球年度报告</w:t>
      </w:r>
    </w:p>
    <w:p w14:paraId="7694ADB0">
      <w:pPr>
        <w:bidi w:val="0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bookmarkStart w:id="44" w:name="3.设定年报要求的依据"/>
      <w:bookmarkEnd w:id="44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设定年报要求的依据</w:t>
      </w:r>
    </w:p>
    <w:p w14:paraId="2B282752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bookmarkStart w:id="45" w:name="（1）《升放气球管理办法》第十一条《升放气球资质证》有效期为五年，并实行年度报告"/>
      <w:bookmarkEnd w:id="45"/>
      <w:r>
        <w:rPr>
          <w:rFonts w:hint="eastAsia" w:ascii="仿宋_GB2312" w:hAnsi="仿宋_GB2312" w:eastAsia="仿宋_GB2312" w:cs="仿宋_GB2312"/>
          <w:sz w:val="32"/>
          <w:szCs w:val="32"/>
        </w:rPr>
        <w:t>《升放气球管理办法》第十一条《升放气球资质证》有效期为五年，并实行年度报告制度。取得资质的单位，应当在每年的六月底前将上一年度升放气球年度报告报认定机构。</w:t>
      </w:r>
    </w:p>
    <w:p w14:paraId="70149D43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bookmarkStart w:id="46" w:name="年度报告应当包括持续符合资质认定条件和要求、遵守技术标准和规范、作业人员安全培训"/>
      <w:bookmarkEnd w:id="46"/>
      <w:r>
        <w:rPr>
          <w:rFonts w:hint="eastAsia" w:ascii="仿宋_GB2312" w:hAnsi="仿宋_GB2312" w:eastAsia="仿宋_GB2312" w:cs="仿宋_GB2312"/>
          <w:sz w:val="32"/>
          <w:szCs w:val="32"/>
        </w:rPr>
        <w:t>年度报告应当包括持续符合资质认定条件和要求、遵守技术标准和规范、作业人员安全培训情况、升放气球活动等情况。年报周期：1年</w:t>
      </w:r>
    </w:p>
    <w:p w14:paraId="3922FE70">
      <w:pPr>
        <w:bidi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十四</w:t>
      </w:r>
      <w:bookmarkStart w:id="47" w:name="十四、监管主体"/>
      <w:bookmarkEnd w:id="47"/>
      <w:r>
        <w:rPr>
          <w:rFonts w:hint="eastAsia" w:ascii="黑体" w:hAnsi="黑体" w:eastAsia="黑体" w:cs="黑体"/>
          <w:sz w:val="32"/>
          <w:szCs w:val="32"/>
        </w:rPr>
        <w:t>、监管主体</w:t>
      </w:r>
    </w:p>
    <w:p w14:paraId="29E11F80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设区的市级、县级气象主管机构</w:t>
      </w:r>
    </w:p>
    <w:p w14:paraId="79072AE6">
      <w:pPr>
        <w:bidi w:val="0"/>
        <w:rPr>
          <w:rFonts w:hint="eastAsia" w:ascii="黑体" w:hAnsi="黑体" w:eastAsia="黑体" w:cs="黑体"/>
          <w:sz w:val="32"/>
          <w:szCs w:val="32"/>
        </w:rPr>
      </w:pPr>
      <w:bookmarkStart w:id="48" w:name="十五、备注"/>
      <w:bookmarkEnd w:id="48"/>
      <w:r>
        <w:rPr>
          <w:rFonts w:hint="eastAsia" w:ascii="黑体" w:hAnsi="黑体" w:eastAsia="黑体" w:cs="黑体"/>
          <w:sz w:val="32"/>
          <w:szCs w:val="32"/>
        </w:rPr>
        <w:t>十五、备注</w:t>
      </w:r>
    </w:p>
    <w:sectPr>
      <w:pgSz w:w="11906" w:h="16840"/>
      <w:pgMar w:top="1560" w:right="1680" w:bottom="280" w:left="16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2"/>
  </w:compat>
  <w:docVars>
    <w:docVar w:name="commondata" w:val="eyJoZGlkIjoiMWZiOGViYjQyZjA3ZWZhNjE2MmRlOTE1Nzk0NTI1OTkifQ=="/>
  </w:docVars>
  <w:rsids>
    <w:rsidRoot w:val="00000000"/>
    <w:rsid w:val="05BD438B"/>
    <w:rsid w:val="292C7899"/>
    <w:rsid w:val="3546667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qFormat/>
    <w:uiPriority w:val="1"/>
    <w:pPr>
      <w:spacing w:before="8"/>
      <w:outlineLvl w:val="1"/>
    </w:pPr>
    <w:rPr>
      <w:rFonts w:ascii="方正小标宋_GBK" w:hAnsi="方正小标宋_GBK" w:eastAsia="方正小标宋_GBK"/>
      <w:sz w:val="40"/>
      <w:szCs w:val="40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679"/>
    </w:pPr>
    <w:rPr>
      <w:rFonts w:ascii="Microsoft JhengHei" w:hAnsi="Microsoft JhengHei" w:eastAsia="Microsoft JhengHei"/>
      <w:sz w:val="28"/>
      <w:szCs w:val="28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</w:style>
  <w:style w:type="paragraph" w:customStyle="1" w:styleId="8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5</Pages>
  <Words>2823</Words>
  <Characters>2970</Characters>
  <TotalTime>20</TotalTime>
  <ScaleCrop>false</ScaleCrop>
  <LinksUpToDate>false</LinksUpToDate>
  <CharactersWithSpaces>2973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2023-11-27T11:50:00Z</dcterms:created>
  <dc:creator>49152</dc:creator>
  <cp:lastModifiedBy>浅唱</cp:lastModifiedBy>
  <dcterms:modified xsi:type="dcterms:W3CDTF">2024-08-26T09:04:11Z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2023-07-31T00:00:00Z</vt:filetime>
  </property>
  <property fmtid="{D5CDD505-2E9C-101B-9397-08002B2CF9AE}" pid="3" name="LastSaved">
    <vt:filetime>2023-11-27T00:00:00Z</vt:filetime>
  </property>
  <property fmtid="{D5CDD505-2E9C-101B-9397-08002B2CF9AE}" pid="4" name="KSOProductBuildVer">
    <vt:lpwstr>2052-12.1.0.17827</vt:lpwstr>
  </property>
  <property fmtid="{D5CDD505-2E9C-101B-9397-08002B2CF9AE}" pid="5" name="ICV">
    <vt:lpwstr>D3332390BF544F86B97D02AC0DFA7C6D_12</vt:lpwstr>
  </property>
</Properties>
</file>