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574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97"/>
          <w:w w:val="100"/>
          <w:sz w:val="32"/>
          <w:szCs w:val="32"/>
        </w:rPr>
        <w:t>、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位资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2"/>
          <w:szCs w:val="32"/>
        </w:rPr>
        <w:t>定</w:t>
      </w:r>
    </w:p>
    <w:p w14:paraId="7579C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440" w:lineRule="exact"/>
        <w:ind w:left="0" w:right="139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区的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市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级权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限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）延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3"/>
          <w:w w:val="100"/>
          <w:sz w:val="32"/>
          <w:szCs w:val="32"/>
        </w:rPr>
        <w:t>续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2"/>
          <w:szCs w:val="32"/>
        </w:rPr>
        <w:t>请</w:t>
      </w:r>
    </w:p>
    <w:p w14:paraId="17B90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line="440" w:lineRule="exact"/>
        <w:ind w:left="0" w:right="139" w:firstLine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"/>
          <w:w w:val="100"/>
          <w:sz w:val="32"/>
          <w:szCs w:val="32"/>
        </w:rPr>
        <w:t>【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00"/>
          <w:sz w:val="32"/>
          <w:szCs w:val="32"/>
        </w:rPr>
        <w:t>000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1"/>
          <w:w w:val="100"/>
          <w:sz w:val="32"/>
          <w:szCs w:val="32"/>
        </w:rPr>
        <w:t>1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00"/>
          <w:sz w:val="32"/>
          <w:szCs w:val="32"/>
        </w:rPr>
        <w:t>54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1"/>
          <w:w w:val="100"/>
          <w:sz w:val="32"/>
          <w:szCs w:val="32"/>
        </w:rPr>
        <w:t>1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00"/>
          <w:sz w:val="32"/>
          <w:szCs w:val="32"/>
        </w:rPr>
        <w:t>04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1"/>
          <w:w w:val="100"/>
          <w:sz w:val="32"/>
          <w:szCs w:val="32"/>
        </w:rPr>
        <w:t>0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2"/>
          <w:w w:val="100"/>
          <w:sz w:val="32"/>
          <w:szCs w:val="32"/>
        </w:rPr>
        <w:t>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1"/>
          <w:w w:val="100"/>
          <w:sz w:val="32"/>
          <w:szCs w:val="32"/>
        </w:rPr>
        <w:t>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sz w:val="32"/>
          <w:szCs w:val="32"/>
        </w:rPr>
        <w:t>】</w:t>
      </w:r>
    </w:p>
    <w:p w14:paraId="22ADD2E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一</w:t>
      </w:r>
      <w:bookmarkStart w:id="0" w:name="一、基本要素"/>
      <w:bookmarkEnd w:id="0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基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本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要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素</w:t>
      </w:r>
    </w:p>
    <w:p w14:paraId="084A1FC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1.行政许可事项名称及编码"/>
      <w:bookmarkEnd w:id="1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93"/>
          <w:w w:val="95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93"/>
          <w:w w:val="95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【0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0Y】</w:t>
      </w:r>
    </w:p>
    <w:p w14:paraId="6F329A5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38" w:leftChars="290" w:right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2.行政许可事项子项名称及编码"/>
      <w:bookmarkEnd w:id="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行政许可事项子项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】</w:t>
      </w:r>
    </w:p>
    <w:p w14:paraId="4146100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3.行政许可事项业务办理项名称及编码"/>
      <w:bookmarkEnd w:id="3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行政许可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项业务办理项名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及编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延续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0"/>
          <w:sz w:val="32"/>
          <w:szCs w:val="32"/>
        </w:rPr>
        <w:t>)</w:t>
      </w:r>
    </w:p>
    <w:p w14:paraId="6A617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4" w:name="（1）《国务院对确需保留的行政审批项目设定行政许可的决定》第376项"/>
      <w:bookmarkEnd w:id="4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院对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需保留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决定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》第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6项</w:t>
      </w:r>
    </w:p>
    <w:p w14:paraId="0297C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5" w:name="5.实施依据"/>
      <w:bookmarkEnd w:id="5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实施依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6" w:name="（1）《升放气球管理办法》"/>
      <w:bookmarkEnd w:id="6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》</w:t>
      </w:r>
    </w:p>
    <w:p w14:paraId="7810D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7" w:name="6.监管依据"/>
      <w:bookmarkEnd w:id="7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监管依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8" w:name="（1）《升放气球管理办法》第二十、二十一、二十二、二十三、二十五、二十六、二十七"/>
      <w:bookmarkEnd w:id="8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《升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八、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</w:p>
    <w:p w14:paraId="441ACC2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实施机关：设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构</w:t>
      </w:r>
    </w:p>
    <w:p w14:paraId="1918DCA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审批层级：设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05521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行使层级：市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44E66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是否由审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机关受理：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3A0E3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9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受理层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级</w:t>
      </w:r>
    </w:p>
    <w:p w14:paraId="69995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是否存在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审环节：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050C0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初审层级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341697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215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对应政务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务事项国家级基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目录名称：升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定</w:t>
      </w:r>
    </w:p>
    <w:p w14:paraId="0BC290A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二</w:t>
      </w:r>
      <w:bookmarkStart w:id="9" w:name="二、行政许可事项类型"/>
      <w:bookmarkEnd w:id="9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事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项类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型</w:t>
      </w:r>
    </w:p>
    <w:p w14:paraId="3D2A089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型</w:t>
      </w:r>
    </w:p>
    <w:p w14:paraId="313A7B6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三</w:t>
      </w:r>
      <w:bookmarkStart w:id="10" w:name="三、行政许可条件"/>
      <w:bookmarkEnd w:id="10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条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件</w:t>
      </w:r>
    </w:p>
    <w:p w14:paraId="41B7679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1" w:name="1.准予行政许可的条件"/>
      <w:bookmarkEnd w:id="11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准予行政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立的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定的工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场所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危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险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气体的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运输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和存放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须符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关规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有4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pacing w:val="-4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至少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有1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有相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专业中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职称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措施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EFB602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12" w:name="2.规定行政许可条件的依据"/>
      <w:bookmarkEnd w:id="1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可条件的依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734E438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备下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条件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：</w:t>
      </w:r>
    </w:p>
    <w:p w14:paraId="19BD989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119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立的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3BDAB91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11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有固定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工作场所，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险气体的运输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使用和存放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须符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4715501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有四名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上作业人员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其中至少有一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具有相关专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中级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术职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470869F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3489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需的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04FADB7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措施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0A7C5AF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四</w:t>
      </w:r>
      <w:bookmarkStart w:id="13" w:name="四、行政许可服务对象类型与改革举措"/>
      <w:bookmarkEnd w:id="13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服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务对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类型与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改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革举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措</w:t>
      </w:r>
    </w:p>
    <w:p w14:paraId="7A742B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服务对象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人</w:t>
      </w:r>
    </w:p>
    <w:p w14:paraId="1381313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是否为涉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许可事项：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54E58B0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涉企经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许可事项名称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无人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驶自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质认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定</w:t>
      </w:r>
    </w:p>
    <w:p w14:paraId="65873E1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许可证件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证</w:t>
      </w:r>
    </w:p>
    <w:p w14:paraId="1713FA9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改革方式：优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务</w:t>
      </w:r>
    </w:p>
    <w:p w14:paraId="71E1D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具体改革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举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措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不再要求申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人提供法人证书或营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执照原件。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实现申请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上公布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序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条件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5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诺审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时限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至8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183BB5E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加强事中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后监管措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“双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随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开”监管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门联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监管等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式</w:t>
      </w:r>
      <w:r>
        <w:rPr>
          <w:rFonts w:hint="eastAsia" w:ascii="仿宋_GB2312" w:hAnsi="仿宋_GB2312" w:eastAsia="仿宋_GB2312" w:cs="仿宋_GB2312"/>
          <w:b w:val="0"/>
          <w:bCs w:val="0"/>
          <w:spacing w:val="-1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无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自由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留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违法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违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依法查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结果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健全监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规则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标准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市场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任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对升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科普宣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传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高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社会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众的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举报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3393163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五</w:t>
      </w:r>
      <w:bookmarkStart w:id="14" w:name="五、申请材料"/>
      <w:bookmarkEnd w:id="14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、申请材料</w:t>
      </w:r>
    </w:p>
    <w:p w14:paraId="72DF8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5" w:name="1.申请材料名称"/>
      <w:bookmarkEnd w:id="15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申请材料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称</w:t>
      </w:r>
    </w:p>
    <w:p w14:paraId="63708D5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61FF58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记表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7EC22A4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817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器材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5208F58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817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保障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任制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EA0CB8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817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6" w:name="2.规定申请材料的依据"/>
      <w:bookmarkEnd w:id="16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规定申请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761CA9D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line="440" w:lineRule="exact"/>
        <w:ind w:left="120" w:right="257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从事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向所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地的设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或者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市气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以下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提供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列申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：</w:t>
      </w:r>
    </w:p>
    <w:p w14:paraId="42E4E07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1817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  <w:lang w:eastAsia="zh-CN"/>
        </w:rPr>
        <w:t>；</w:t>
      </w:r>
    </w:p>
    <w:p w14:paraId="6CBD1A0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1817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记表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626FED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1817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器材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104E24E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1817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保障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任制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施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3EF6E6B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1817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100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32864A7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6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理办法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得升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质的单位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届满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向原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申请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据该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位的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信用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关情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效期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否准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延续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决定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340A7D8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六</w:t>
      </w:r>
      <w:bookmarkStart w:id="17" w:name="六、中介服务"/>
      <w:bookmarkEnd w:id="17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中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介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服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务</w:t>
      </w:r>
    </w:p>
    <w:p w14:paraId="7382841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有无法定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介服务事项：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2A265E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中介服务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510C32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设定中介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务事项的依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C108A5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提供中介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务的机构：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E4D684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中介服务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项的收费性质：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616B65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七</w:t>
      </w:r>
      <w:bookmarkStart w:id="18" w:name="七、审批程序"/>
      <w:bookmarkEnd w:id="18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、审批程序</w:t>
      </w:r>
    </w:p>
    <w:p w14:paraId="3436CEF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19" w:name="1.办理行政许可的程序环节"/>
      <w:bookmarkEnd w:id="19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可的程序环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节</w:t>
      </w:r>
    </w:p>
    <w:p w14:paraId="5630265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18CFADD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受理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52AF908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场核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230F75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；</w:t>
      </w:r>
    </w:p>
    <w:p w14:paraId="3FE51C5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定核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许可证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100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核发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4C0144E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0" w:name="2.规定行政许可程序的依据"/>
      <w:bookmarkEnd w:id="20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可程序的依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117FF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《升放气球管理办法》第九条认定机构受理申请后，应当根据需要，指派两名以上工作人员进行现场核查。</w:t>
      </w:r>
    </w:p>
    <w:p w14:paraId="38DB8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升放气球管理办法》第十条申请单位的申请符合法定条件的，认定机构应当自受理申请之日起二十日内作出行政许可决定，自决定之日起十日内向申请单位颁发加盖认定机构印章的《升放气球资质证》。二十日内不能作出决定的，经本级气象主管机构负责人批准，可以延长十日，并将延长期限的理由告知申请人。</w:t>
      </w:r>
    </w:p>
    <w:p w14:paraId="40FB1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认定机构依法作出不予行政许可的书面决定的，应当说明理由，并告知申请单位依法享有申请行政复议或者提起行政诉讼的权利。</w:t>
      </w:r>
    </w:p>
    <w:p w14:paraId="1A0A3DA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场勘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2A35143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织听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AD043B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招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标、拍卖、挂牌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598E904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验、检测、检疫：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367F659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4BAEF93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家评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067F20B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社会公示：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55539E9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是否实行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知承诺办理：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44A366C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19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审批机关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否委托服务机构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展技术性服务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621135B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八</w:t>
      </w:r>
      <w:bookmarkStart w:id="21" w:name="八、受理和审批时限"/>
      <w:bookmarkEnd w:id="21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受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理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和审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时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限</w:t>
      </w:r>
    </w:p>
    <w:p w14:paraId="7CAF28DA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承诺受理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日</w:t>
      </w:r>
    </w:p>
    <w:p w14:paraId="5DC1F81A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2" w:name="2.法定审批时限：20个工作日"/>
      <w:bookmarkEnd w:id="22"/>
      <w:bookmarkStart w:id="23" w:name="2.法定审批时限：20个工作日"/>
      <w:bookmarkEnd w:id="23"/>
      <w:r>
        <w:rPr>
          <w:rFonts w:hint="eastAsia" w:ascii="仿宋_GB2312" w:hAnsi="仿宋_GB2312" w:eastAsia="仿宋_GB2312" w:cs="仿宋_GB2312"/>
          <w:b/>
          <w:bCs/>
          <w:spacing w:val="0"/>
          <w:w w:val="95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法定审批</w:t>
      </w:r>
      <w:r>
        <w:rPr>
          <w:rFonts w:hint="eastAsia" w:ascii="仿宋_GB2312" w:hAnsi="仿宋_GB2312" w:eastAsia="仿宋_GB2312" w:cs="仿宋_GB2312"/>
          <w:b w:val="0"/>
          <w:bCs w:val="0"/>
          <w:spacing w:val="1"/>
          <w:w w:val="95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4"/>
          <w:w w:val="95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95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95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95"/>
          <w:sz w:val="32"/>
          <w:szCs w:val="32"/>
        </w:rPr>
        <w:t>日</w:t>
      </w:r>
    </w:p>
    <w:p w14:paraId="182EFE5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4" w:name="3.规定法定审批时限依据"/>
      <w:bookmarkEnd w:id="2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规定法定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批时限依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486B2CC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17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合法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受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之日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起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作出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政</w:t>
      </w:r>
      <w:r>
        <w:rPr>
          <w:rFonts w:hint="eastAsia" w:ascii="仿宋_GB2312" w:hAnsi="仿宋_GB2312" w:eastAsia="仿宋_GB2312" w:cs="仿宋_GB2312"/>
          <w:b w:val="0"/>
          <w:bCs w:val="0"/>
          <w:spacing w:val="7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4"/>
          <w:w w:val="100"/>
          <w:sz w:val="32"/>
          <w:szCs w:val="32"/>
        </w:rPr>
        <w:t>可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起十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颁发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盖认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印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章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放</w:t>
      </w:r>
      <w:bookmarkStart w:id="49" w:name="_GoBack"/>
      <w:bookmarkEnd w:id="49"/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日内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能作出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定的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级气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主管机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负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责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可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以延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长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长期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由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告知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0FE7427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承诺审批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日</w:t>
      </w:r>
    </w:p>
    <w:p w14:paraId="6EE7CEC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九</w:t>
      </w:r>
      <w:bookmarkStart w:id="25" w:name="九、收费"/>
      <w:bookmarkEnd w:id="25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收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费</w:t>
      </w:r>
    </w:p>
    <w:p w14:paraId="6A62ECF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可是否收费：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7236C0F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6" w:name="2.收费项目的名称、收费项目的标准、设定收费项目的依据、规定收费标准的依据"/>
      <w:bookmarkEnd w:id="26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目的名称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收费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2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费项目的依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-1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定收费标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6D7151C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bookmarkStart w:id="27" w:name="十、行政许可证件"/>
      <w:bookmarkEnd w:id="27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、行政许可证件</w:t>
      </w:r>
    </w:p>
    <w:p w14:paraId="4B77A3C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8" w:name="1.审批结果类型：证照"/>
      <w:bookmarkEnd w:id="28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照</w:t>
      </w:r>
    </w:p>
    <w:p w14:paraId="47FE5AA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证</w:t>
      </w:r>
    </w:p>
    <w:p w14:paraId="37C1BC0E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有效期限：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5年</w:t>
      </w:r>
    </w:p>
    <w:p w14:paraId="1D2D813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29" w:name="4.规定审批结果有效期限的依据"/>
      <w:bookmarkEnd w:id="29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果有效期限的依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434C682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五年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告制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286659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理审批结果变更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否</w:t>
      </w:r>
    </w:p>
    <w:p w14:paraId="2863A81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0" w:name="6.办理审批结果变更手续的要求"/>
      <w:bookmarkEnd w:id="30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果变更手续的要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49CA8A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是否需要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理审批结果延续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是</w:t>
      </w:r>
    </w:p>
    <w:p w14:paraId="6E728DF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11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1" w:name="8.办理审批结果延续手续的要求"/>
      <w:bookmarkEnd w:id="31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办理审批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果延续手续的要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的单位</w:t>
      </w:r>
      <w:r>
        <w:rPr>
          <w:rFonts w:hint="eastAsia" w:ascii="仿宋_GB2312" w:hAnsi="仿宋_GB2312" w:eastAsia="仿宋_GB2312" w:cs="仿宋_GB2312"/>
          <w:b w:val="0"/>
          <w:bCs w:val="0"/>
          <w:spacing w:val="-97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届满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十日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原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请延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续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该单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的申请</w:t>
      </w:r>
      <w:r>
        <w:rPr>
          <w:rFonts w:hint="eastAsia" w:ascii="仿宋_GB2312" w:hAnsi="仿宋_GB2312" w:eastAsia="仿宋_GB2312" w:cs="仿宋_GB2312"/>
          <w:b w:val="0"/>
          <w:bCs w:val="0"/>
          <w:spacing w:val="-49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理等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关情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，在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效期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满前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出是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准予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续的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决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2786103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2" w:name="9.审批结果的有效地域范围"/>
      <w:bookmarkEnd w:id="3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审批结果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有效地域范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围</w:t>
      </w:r>
      <w:bookmarkStart w:id="33" w:name="全国"/>
      <w:bookmarkEnd w:id="33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国</w:t>
      </w:r>
    </w:p>
    <w:p w14:paraId="1CFC2ED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4" w:name="10.规定审批结果有效地域范围的依据"/>
      <w:bookmarkEnd w:id="3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规定审批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果有效地域范围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19A348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华人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民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从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事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本办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及国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其他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关规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6823B2F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一</w:t>
      </w:r>
      <w:bookmarkStart w:id="35" w:name="十一、行政许可数量限制"/>
      <w:bookmarkEnd w:id="35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数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量限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制</w:t>
      </w:r>
    </w:p>
    <w:p w14:paraId="4305F64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可数量限制：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E30807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6" w:name="2.公布数量限制的方式：无"/>
      <w:bookmarkEnd w:id="36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公布数量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制的方式：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279C6D9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7" w:name="3.公布数量限制的周期：无"/>
      <w:bookmarkEnd w:id="37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公布数量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制的周期：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CCB3D9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在数量限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条件下实施行政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许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可的方式：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72D56C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firstLine="635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规定在数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量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限制条件下实施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政许可方式的依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32F281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二</w:t>
      </w:r>
      <w:bookmarkStart w:id="38" w:name="十二、行政许可后年检"/>
      <w:bookmarkEnd w:id="38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、行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政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许可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后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年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检</w:t>
      </w:r>
    </w:p>
    <w:p w14:paraId="7E604DC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7B4AC2E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39" w:name="2.设定年检要求的依据"/>
      <w:bookmarkEnd w:id="39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bookmarkStart w:id="40" w:name="无"/>
      <w:bookmarkEnd w:id="40"/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3942D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left="679" w:right="0" w:firstLine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1" w:name="3.年检周期：无"/>
      <w:bookmarkEnd w:id="41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EBD346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年检是否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求报送材料：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4AE1BAA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年检报送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料名称：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536C789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年检是否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0C6982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128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费项目的名称</w:t>
      </w:r>
      <w:r>
        <w:rPr>
          <w:rFonts w:hint="eastAsia" w:ascii="仿宋_GB2312" w:hAnsi="仿宋_GB2312" w:eastAsia="仿宋_GB2312" w:cs="仿宋_GB2312"/>
          <w:b w:val="0"/>
          <w:bCs w:val="0"/>
          <w:spacing w:val="-2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收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费项目的标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2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检收费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目的依据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规定年检项目收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标准的依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1858A89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2" w:name="8.通过年检的证明或者标志：无"/>
      <w:bookmarkEnd w:id="42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通过年检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证明或者标志：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无</w:t>
      </w:r>
    </w:p>
    <w:p w14:paraId="638753F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十三</w:t>
      </w:r>
      <w:bookmarkStart w:id="43" w:name="十三、行政许可后年报"/>
      <w:bookmarkEnd w:id="43"/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、行政许可后年报</w:t>
      </w:r>
    </w:p>
    <w:p w14:paraId="3E4D269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有无年报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有</w:t>
      </w:r>
    </w:p>
    <w:p w14:paraId="1C2B1E6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年报报送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材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料名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称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度报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告</w:t>
      </w:r>
    </w:p>
    <w:p w14:paraId="39E6F39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4" w:name="3.设定年报要求的依据"/>
      <w:bookmarkEnd w:id="44"/>
      <w:r>
        <w:rPr>
          <w:rFonts w:hint="eastAsia" w:ascii="仿宋_GB2312" w:hAnsi="仿宋_GB2312" w:eastAsia="仿宋_GB2312" w:cs="仿宋_GB2312"/>
          <w:b/>
          <w:bCs/>
          <w:spacing w:val="-2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设定年报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求的依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据</w:t>
      </w:r>
    </w:p>
    <w:p w14:paraId="3FDBE1D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line="440" w:lineRule="exact"/>
        <w:ind w:left="120" w:right="117" w:firstLine="559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5" w:name="（1）《升放气球管理办法》第十一条《升放气球资质证》有效期为五年，并实行年度报告"/>
      <w:bookmarkEnd w:id="45"/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办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 w:val="0"/>
          <w:bCs w:val="0"/>
          <w:spacing w:val="2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五年</w:t>
      </w:r>
      <w:r>
        <w:rPr>
          <w:rFonts w:hint="eastAsia" w:ascii="仿宋_GB2312" w:hAnsi="仿宋_GB2312" w:eastAsia="仿宋_GB2312" w:cs="仿宋_GB2312"/>
          <w:b w:val="0"/>
          <w:bCs w:val="0"/>
          <w:spacing w:val="-3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行年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报告制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得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b w:val="0"/>
          <w:bCs w:val="0"/>
          <w:spacing w:val="-32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当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在每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底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前将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上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一年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升放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球年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6D43D93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line="440" w:lineRule="exact"/>
        <w:ind w:left="120" w:right="0" w:firstLine="559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46" w:name="年度报告应当包括持续符合资质认定条件和要求、遵守技术标准和规范、作业人员安全培训"/>
      <w:bookmarkEnd w:id="46"/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当包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括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持续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符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合资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质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认定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件和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b w:val="0"/>
          <w:bCs w:val="0"/>
          <w:spacing w:val="-94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遵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守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技术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规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范、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作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业人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安全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培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训情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、升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气球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动等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情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况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。</w:t>
      </w:r>
    </w:p>
    <w:p w14:paraId="4F2416E9">
      <w:pPr>
        <w:pStyle w:val="3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8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1" w:line="440" w:lineRule="exact"/>
        <w:ind w:left="818" w:right="0" w:hanging="1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年报周期：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1年</w:t>
      </w:r>
    </w:p>
    <w:p w14:paraId="495693E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四</w:t>
      </w:r>
      <w:bookmarkStart w:id="47" w:name="十四、监管主体"/>
      <w:bookmarkEnd w:id="47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、监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管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主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体</w:t>
      </w:r>
    </w:p>
    <w:p w14:paraId="1BF7F4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的市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、县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气象</w:t>
      </w:r>
      <w:r>
        <w:rPr>
          <w:rFonts w:hint="eastAsia" w:ascii="仿宋_GB2312" w:hAnsi="仿宋_GB2312" w:eastAsia="仿宋_GB2312" w:cs="仿宋_GB2312"/>
          <w:b w:val="0"/>
          <w:bCs w:val="0"/>
          <w:spacing w:val="-3"/>
          <w:w w:val="100"/>
          <w:sz w:val="32"/>
          <w:szCs w:val="32"/>
        </w:rPr>
        <w:t>主</w:t>
      </w:r>
      <w:r>
        <w:rPr>
          <w:rFonts w:hint="eastAsia" w:ascii="仿宋_GB2312" w:hAnsi="仿宋_GB2312" w:eastAsia="仿宋_GB2312" w:cs="仿宋_GB2312"/>
          <w:b w:val="0"/>
          <w:bCs w:val="0"/>
          <w:spacing w:val="-1"/>
          <w:w w:val="100"/>
          <w:sz w:val="32"/>
          <w:szCs w:val="32"/>
        </w:rPr>
        <w:t>管机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sz w:val="32"/>
          <w:szCs w:val="32"/>
        </w:rPr>
        <w:t>构</w:t>
      </w:r>
    </w:p>
    <w:p w14:paraId="308F2C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" w:line="440" w:lineRule="exact"/>
        <w:ind w:left="120" w:right="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48" w:name="十五、备注"/>
      <w:bookmarkEnd w:id="48"/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十</w:t>
      </w:r>
      <w:r>
        <w:rPr>
          <w:rFonts w:hint="eastAsia" w:ascii="黑体" w:hAnsi="黑体" w:eastAsia="黑体" w:cs="黑体"/>
          <w:b w:val="0"/>
          <w:bCs w:val="0"/>
          <w:spacing w:val="-3"/>
          <w:w w:val="100"/>
          <w:sz w:val="32"/>
          <w:szCs w:val="32"/>
        </w:rPr>
        <w:t>五</w:t>
      </w:r>
      <w:r>
        <w:rPr>
          <w:rFonts w:hint="eastAsia" w:ascii="黑体" w:hAnsi="黑体" w:eastAsia="黑体" w:cs="黑体"/>
          <w:b w:val="0"/>
          <w:bCs w:val="0"/>
          <w:spacing w:val="-1"/>
          <w:w w:val="100"/>
          <w:sz w:val="32"/>
          <w:szCs w:val="32"/>
        </w:rPr>
        <w:t>、备</w:t>
      </w:r>
      <w:r>
        <w:rPr>
          <w:rFonts w:hint="eastAsia" w:ascii="黑体" w:hAnsi="黑体" w:eastAsia="黑体" w:cs="黑体"/>
          <w:b w:val="0"/>
          <w:bCs w:val="0"/>
          <w:spacing w:val="0"/>
          <w:w w:val="100"/>
          <w:sz w:val="32"/>
          <w:szCs w:val="32"/>
        </w:rPr>
        <w:t>注</w:t>
      </w:r>
    </w:p>
    <w:sectPr>
      <w:pgSz w:w="11906" w:h="16840"/>
      <w:pgMar w:top="154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3"/>
      <w:numFmt w:val="decimal"/>
      <w:lvlText w:val="%1"/>
      <w:lvlJc w:val="left"/>
      <w:pPr>
        <w:ind w:hanging="140"/>
        <w:jc w:val="left"/>
      </w:pPr>
      <w:rPr>
        <w:rFonts w:hint="default" w:ascii="Times New Roman" w:hAnsi="Times New Roman" w:eastAsia="Times New Roman"/>
        <w:b/>
        <w:bCs/>
        <w:spacing w:val="-2"/>
        <w:sz w:val="28"/>
        <w:szCs w:val="28"/>
      </w:rPr>
    </w:lvl>
    <w:lvl w:ilvl="1" w:tentative="0">
      <w:start w:val="1"/>
      <w:numFmt w:val="bullet"/>
      <w:lvlText w:val="•"/>
      <w:lvlJc w:val="left"/>
      <w:rPr>
        <w:rFonts w:hint="default"/>
      </w:rPr>
    </w:lvl>
    <w:lvl w:ilvl="2" w:tentative="0">
      <w:start w:val="1"/>
      <w:numFmt w:val="bullet"/>
      <w:lvlText w:val="•"/>
      <w:lvlJc w:val="left"/>
      <w:rPr>
        <w:rFonts w:hint="default"/>
      </w:rPr>
    </w:lvl>
    <w:lvl w:ilvl="3" w:tentative="0">
      <w:start w:val="1"/>
      <w:numFmt w:val="bullet"/>
      <w:lvlText w:val="•"/>
      <w:lvlJc w:val="left"/>
      <w:rPr>
        <w:rFonts w:hint="default"/>
      </w:rPr>
    </w:lvl>
    <w:lvl w:ilvl="4" w:tentative="0">
      <w:start w:val="1"/>
      <w:numFmt w:val="bullet"/>
      <w:lvlText w:val="•"/>
      <w:lvlJc w:val="left"/>
      <w:rPr>
        <w:rFonts w:hint="default"/>
      </w:rPr>
    </w:lvl>
    <w:lvl w:ilvl="5" w:tentative="0">
      <w:start w:val="1"/>
      <w:numFmt w:val="bullet"/>
      <w:lvlText w:val="•"/>
      <w:lvlJc w:val="left"/>
      <w:rPr>
        <w:rFonts w:hint="default"/>
      </w:rPr>
    </w:lvl>
    <w:lvl w:ilvl="6" w:tentative="0">
      <w:start w:val="1"/>
      <w:numFmt w:val="bullet"/>
      <w:lvlText w:val="•"/>
      <w:lvlJc w:val="left"/>
      <w:rPr>
        <w:rFonts w:hint="default"/>
      </w:rPr>
    </w:lvl>
    <w:lvl w:ilvl="7" w:tentative="0">
      <w:start w:val="1"/>
      <w:numFmt w:val="bullet"/>
      <w:lvlText w:val="•"/>
      <w:lvlJc w:val="left"/>
      <w:rPr>
        <w:rFonts w:hint="default"/>
      </w:rPr>
    </w:lvl>
    <w:lvl w:ilvl="8" w:tentative="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hanging="140"/>
        <w:jc w:val="left"/>
      </w:pPr>
      <w:rPr>
        <w:rFonts w:hint="default" w:ascii="Times New Roman" w:hAnsi="Times New Roman" w:eastAsia="Times New Roman"/>
        <w:b/>
        <w:bCs/>
        <w:spacing w:val="-2"/>
        <w:sz w:val="28"/>
        <w:szCs w:val="28"/>
      </w:rPr>
    </w:lvl>
    <w:lvl w:ilvl="1" w:tentative="0">
      <w:start w:val="1"/>
      <w:numFmt w:val="bullet"/>
      <w:lvlText w:val="•"/>
      <w:lvlJc w:val="left"/>
      <w:rPr>
        <w:rFonts w:hint="default"/>
      </w:rPr>
    </w:lvl>
    <w:lvl w:ilvl="2" w:tentative="0">
      <w:start w:val="1"/>
      <w:numFmt w:val="bullet"/>
      <w:lvlText w:val="•"/>
      <w:lvlJc w:val="left"/>
      <w:rPr>
        <w:rFonts w:hint="default"/>
      </w:rPr>
    </w:lvl>
    <w:lvl w:ilvl="3" w:tentative="0">
      <w:start w:val="1"/>
      <w:numFmt w:val="bullet"/>
      <w:lvlText w:val="•"/>
      <w:lvlJc w:val="left"/>
      <w:rPr>
        <w:rFonts w:hint="default"/>
      </w:rPr>
    </w:lvl>
    <w:lvl w:ilvl="4" w:tentative="0">
      <w:start w:val="1"/>
      <w:numFmt w:val="bullet"/>
      <w:lvlText w:val="•"/>
      <w:lvlJc w:val="left"/>
      <w:rPr>
        <w:rFonts w:hint="default"/>
      </w:rPr>
    </w:lvl>
    <w:lvl w:ilvl="5" w:tentative="0">
      <w:start w:val="1"/>
      <w:numFmt w:val="bullet"/>
      <w:lvlText w:val="•"/>
      <w:lvlJc w:val="left"/>
      <w:rPr>
        <w:rFonts w:hint="default"/>
      </w:rPr>
    </w:lvl>
    <w:lvl w:ilvl="6" w:tentative="0">
      <w:start w:val="1"/>
      <w:numFmt w:val="bullet"/>
      <w:lvlText w:val="•"/>
      <w:lvlJc w:val="left"/>
      <w:rPr>
        <w:rFonts w:hint="default"/>
      </w:rPr>
    </w:lvl>
    <w:lvl w:ilvl="7" w:tentative="0">
      <w:start w:val="1"/>
      <w:numFmt w:val="bullet"/>
      <w:lvlText w:val="•"/>
      <w:lvlJc w:val="left"/>
      <w:rPr>
        <w:rFonts w:hint="default"/>
      </w:rPr>
    </w:lvl>
    <w:lvl w:ilvl="8" w:tentative="0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MWZiOGViYjQyZjA3ZWZhNjE2MmRlOTE1Nzk0NTI1OTkifQ=="/>
  </w:docVars>
  <w:rsids>
    <w:rsidRoot w:val="00000000"/>
    <w:rsid w:val="29072946"/>
    <w:rsid w:val="54006AE0"/>
    <w:rsid w:val="5B2631E7"/>
    <w:rsid w:val="79F717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spacing w:before="8"/>
      <w:outlineLvl w:val="1"/>
    </w:pPr>
    <w:rPr>
      <w:rFonts w:ascii="方正小标宋_GBK" w:hAnsi="方正小标宋_GBK" w:eastAsia="方正小标宋_GBK"/>
      <w:sz w:val="40"/>
      <w:szCs w:val="40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679"/>
    </w:pPr>
    <w:rPr>
      <w:rFonts w:ascii="Microsoft JhengHei" w:hAnsi="Microsoft JhengHei" w:eastAsia="Microsoft JhengHei"/>
      <w:sz w:val="28"/>
      <w:szCs w:val="2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2934</Words>
  <Characters>3078</Characters>
  <TotalTime>44</TotalTime>
  <ScaleCrop>false</ScaleCrop>
  <LinksUpToDate>false</LinksUpToDate>
  <CharactersWithSpaces>3080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2023-11-27T11:51:00Z</dcterms:created>
  <dc:creator>49152</dc:creator>
  <cp:lastModifiedBy>浅唱</cp:lastModifiedBy>
  <dcterms:modified xsi:type="dcterms:W3CDTF">2024-08-26T09:04:42Z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2023-07-31T00:00:00Z</vt:filetime>
  </property>
  <property fmtid="{D5CDD505-2E9C-101B-9397-08002B2CF9AE}" pid="3" name="LastSaved">
    <vt:filetime>2023-11-27T00:00:00Z</vt:filetime>
  </property>
  <property fmtid="{D5CDD505-2E9C-101B-9397-08002B2CF9AE}" pid="4" name="KSOProductBuildVer">
    <vt:lpwstr>2052-12.1.0.17827</vt:lpwstr>
  </property>
  <property fmtid="{D5CDD505-2E9C-101B-9397-08002B2CF9AE}" pid="5" name="ICV">
    <vt:lpwstr>31CD15805B8B4E0AAA36F3D9CA5622E1_12</vt:lpwstr>
  </property>
</Properties>
</file>