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63271">
      <w:pPr>
        <w:spacing w:before="104" w:line="224" w:lineRule="auto"/>
        <w:rPr>
          <w:rFonts w:ascii="黑体" w:hAnsi="黑体" w:eastAsia="黑体" w:cs="黑体"/>
          <w:spacing w:val="8"/>
          <w:sz w:val="32"/>
          <w:szCs w:val="32"/>
        </w:rPr>
      </w:pPr>
      <w:bookmarkStart w:id="0" w:name="_GoBack"/>
      <w:r>
        <w:rPr>
          <w:rFonts w:hint="eastAsia" w:ascii="黑体" w:hAnsi="黑体" w:eastAsia="黑体" w:cs="黑体"/>
          <w:spacing w:val="8"/>
          <w:sz w:val="32"/>
          <w:szCs w:val="32"/>
        </w:rPr>
        <w:t>附件5</w:t>
      </w:r>
    </w:p>
    <w:p w14:paraId="08403347">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CN"/>
        </w:rPr>
        <w:t>富源县</w:t>
      </w:r>
      <w:r>
        <w:rPr>
          <w:rFonts w:hint="eastAsia" w:ascii="方正小标宋简体" w:eastAsia="方正小标宋简体"/>
          <w:sz w:val="44"/>
          <w:szCs w:val="44"/>
        </w:rPr>
        <w:t>烟草制品</w:t>
      </w:r>
    </w:p>
    <w:p w14:paraId="35841015">
      <w:pPr>
        <w:snapToGrid w:val="0"/>
        <w:spacing w:line="317" w:lineRule="auto"/>
        <w:jc w:val="center"/>
        <w:rPr>
          <w:rFonts w:ascii="仿宋_GB2312" w:hAnsi="仿宋_GB2312" w:eastAsia="仿宋_GB2312" w:cs="仿宋_GB2312"/>
          <w:sz w:val="32"/>
          <w:szCs w:val="32"/>
        </w:rPr>
      </w:pPr>
      <w:r>
        <w:rPr>
          <w:rFonts w:hint="eastAsia" w:ascii="方正小标宋简体" w:eastAsia="方正小标宋简体"/>
          <w:sz w:val="44"/>
          <w:szCs w:val="44"/>
        </w:rPr>
        <w:t>零售点排队轮候制度</w:t>
      </w:r>
    </w:p>
    <w:p w14:paraId="3D0F04B9">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实际，制定本制度。</w:t>
      </w:r>
    </w:p>
    <w:p w14:paraId="0F919FB9">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本制度适用于云南省</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行政辖区烟草制品零售点新办申请排队轮候管理。</w:t>
      </w:r>
    </w:p>
    <w:p w14:paraId="0D617D75">
      <w:pPr>
        <w:numPr>
          <w:ilvl w:val="2"/>
          <w:numId w:val="1"/>
        </w:numPr>
        <w:adjustRightInd w:val="0"/>
        <w:snapToGrid w:val="0"/>
        <w:spacing w:line="336" w:lineRule="auto"/>
        <w:ind w:firstLine="680"/>
        <w:rPr>
          <w:rFonts w:ascii="黑体" w:hAnsi="黑体" w:eastAsia="黑体" w:cs="黑体"/>
          <w:sz w:val="32"/>
          <w:szCs w:val="32"/>
        </w:rPr>
      </w:pP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14:paraId="419E62A6">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最小单元网格的合理容量公示情况，对符合排队轮候情形的最小单元网格，发证机关采取集中抽签方式确定该最小单元网格首次排队轮候顺序。</w:t>
      </w:r>
    </w:p>
    <w:p w14:paraId="231C863A">
      <w:p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14:paraId="4709551C">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抽签按照“提前申请—集中公证抽签—公示抽签结果”的程序进行。自本制度实施之日起五个工作日内，对外发布参与集中抽签的报名地点、时间和方式；自本制度实施之日起十个工作日内，对外发布集中公证抽签的地点、时间和方案；自本制度实施之日起十五个工作日内，完成集中公证抽签。</w:t>
      </w:r>
    </w:p>
    <w:p w14:paraId="2B173010">
      <w:pPr>
        <w:adjustRightInd w:val="0"/>
        <w:snapToGrid w:val="0"/>
        <w:spacing w:line="336" w:lineRule="auto"/>
        <w:ind w:firstLine="640" w:firstLineChars="200"/>
        <w:rPr>
          <w:rFonts w:ascii="楷体" w:hAnsi="楷体" w:eastAsia="楷体" w:cs="楷体"/>
          <w:b/>
          <w:bCs/>
          <w:sz w:val="32"/>
          <w:szCs w:val="32"/>
          <w:highlight w:val="none"/>
        </w:rPr>
      </w:pPr>
      <w:r>
        <w:rPr>
          <w:rFonts w:hint="eastAsia" w:ascii="仿宋_GB2312" w:hAnsi="仿宋_GB2312" w:eastAsia="仿宋_GB2312" w:cs="仿宋_GB2312"/>
          <w:kern w:val="28"/>
          <w:sz w:val="32"/>
          <w:szCs w:val="32"/>
        </w:rPr>
        <w:t>集中公证抽签现场按照对外发布方案确定最小单元网格首次排队轮候顺序，并在完成集中公证抽签后二个工作日内公示</w:t>
      </w:r>
      <w:r>
        <w:rPr>
          <w:rFonts w:hint="eastAsia" w:ascii="仿宋_GB2312" w:hAnsi="仿宋_GB2312" w:eastAsia="仿宋_GB2312" w:cs="仿宋_GB2312"/>
          <w:b/>
          <w:bCs/>
          <w:kern w:val="28"/>
          <w:sz w:val="32"/>
          <w:szCs w:val="32"/>
          <w:highlight w:val="none"/>
        </w:rPr>
        <w:t>。</w:t>
      </w:r>
      <w:r>
        <w:rPr>
          <w:rFonts w:hint="eastAsia" w:ascii="楷体" w:hAnsi="楷体" w:eastAsia="楷体" w:cs="楷体"/>
          <w:b/>
          <w:bCs/>
          <w:sz w:val="32"/>
          <w:szCs w:val="32"/>
          <w:highlight w:val="none"/>
        </w:rPr>
        <w:t>（备注：第四条、第五条仅适用于本次合理布局规划发布前尚未开展排队轮候的县（市、区），已开展的地区</w:t>
      </w:r>
      <w:r>
        <w:rPr>
          <w:rFonts w:hint="eastAsia" w:eastAsia="楷体"/>
          <w:b/>
          <w:bCs/>
          <w:sz w:val="32"/>
          <w:szCs w:val="32"/>
          <w:highlight w:val="none"/>
        </w:rPr>
        <w:t>可</w:t>
      </w:r>
      <w:r>
        <w:rPr>
          <w:rFonts w:eastAsia="楷体"/>
          <w:b/>
          <w:bCs/>
          <w:sz w:val="32"/>
          <w:szCs w:val="32"/>
          <w:highlight w:val="none"/>
        </w:rPr>
        <w:t>结合实际决定是否保留此条</w:t>
      </w:r>
      <w:r>
        <w:rPr>
          <w:rFonts w:hint="eastAsia" w:eastAsia="楷体"/>
          <w:b/>
          <w:bCs/>
          <w:sz w:val="32"/>
          <w:szCs w:val="32"/>
          <w:highlight w:val="none"/>
        </w:rPr>
        <w:t>。</w:t>
      </w:r>
      <w:r>
        <w:rPr>
          <w:rFonts w:hint="eastAsia" w:ascii="楷体" w:hAnsi="楷体" w:eastAsia="楷体" w:cs="楷体"/>
          <w:b/>
          <w:bCs/>
          <w:sz w:val="32"/>
          <w:szCs w:val="32"/>
          <w:highlight w:val="none"/>
        </w:rPr>
        <w:t>）</w:t>
      </w:r>
    </w:p>
    <w:p w14:paraId="3C042314">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零售点排队轮候采取最小单元网格管理。自愿加入排队轮候的申请人，应线上填写并提交《云南省</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烟草制品零售点排队轮候申请表》（详见附表）。申请人在填报信息时应准确、真实。</w:t>
      </w:r>
    </w:p>
    <w:p w14:paraId="325E3A6C">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w:t>
      </w:r>
    </w:p>
    <w:p w14:paraId="19A25ECF">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发证机关应公开排队轮候情况，并接受公众监督。申请人可通过线上、线下等方式查询排队轮候情况。</w:t>
      </w:r>
    </w:p>
    <w:p w14:paraId="22F2D5D2">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14:paraId="3C5E8D0C">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排队轮候。</w:t>
      </w:r>
    </w:p>
    <w:p w14:paraId="3D7F68E8">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烟草专卖局每年年底向上一级烟草专卖局报告本年度烟草制品零售点排队轮候管理工作情况。</w:t>
      </w:r>
    </w:p>
    <w:p w14:paraId="715980CC">
      <w:pPr>
        <w:numPr>
          <w:ilvl w:val="2"/>
          <w:numId w:val="1"/>
        </w:numPr>
        <w:adjustRightInd w:val="0"/>
        <w:snapToGrid w:val="0"/>
        <w:spacing w:line="336"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14:paraId="1B46DA27">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7ADD0C8F">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烟草专卖局负责解释。</w:t>
      </w:r>
    </w:p>
    <w:p w14:paraId="3C428DB2">
      <w:pPr>
        <w:numPr>
          <w:ilvl w:val="2"/>
          <w:numId w:val="1"/>
        </w:numPr>
        <w:adjustRightInd w:val="0"/>
        <w:snapToGrid w:val="0"/>
        <w:spacing w:line="336" w:lineRule="auto"/>
        <w:ind w:firstLine="680"/>
        <w:rPr>
          <w:rFonts w:ascii="楷体" w:hAnsi="楷体" w:eastAsia="楷体" w:cs="楷体"/>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烟草制品零售点合理布局规划》实施之日起同时施行。</w:t>
      </w:r>
    </w:p>
    <w:p w14:paraId="188808B2">
      <w:pPr>
        <w:adjustRightInd w:val="0"/>
        <w:snapToGrid w:val="0"/>
        <w:spacing w:line="336" w:lineRule="auto"/>
        <w:ind w:left="402" w:firstLine="640" w:firstLineChars="200"/>
        <w:rPr>
          <w:rFonts w:ascii="仿宋_GB2312" w:hAnsi="仿宋_GB2312" w:eastAsia="仿宋_GB2312" w:cs="仿宋_GB2312"/>
          <w:sz w:val="32"/>
          <w:szCs w:val="32"/>
        </w:rPr>
      </w:pPr>
    </w:p>
    <w:p w14:paraId="08C76AD1">
      <w:pPr>
        <w:adjustRightInd w:val="0"/>
        <w:snapToGrid w:val="0"/>
        <w:spacing w:line="336" w:lineRule="auto"/>
        <w:ind w:left="40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附表：云南省</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烟草制品零售点排队轮候申请表</w:t>
      </w:r>
    </w:p>
    <w:p w14:paraId="72C59FFD">
      <w:pPr>
        <w:widowControl/>
        <w:jc w:val="left"/>
        <w:rPr>
          <w:rFonts w:ascii="黑体" w:hAnsi="黑体" w:eastAsia="黑体" w:cs="黑体"/>
          <w:sz w:val="32"/>
          <w:szCs w:val="32"/>
        </w:rPr>
      </w:pPr>
      <w:r>
        <w:rPr>
          <w:rFonts w:ascii="黑体" w:hAnsi="黑体" w:eastAsia="黑体" w:cs="黑体"/>
          <w:sz w:val="32"/>
          <w:szCs w:val="32"/>
        </w:rPr>
        <w:br w:type="page"/>
      </w:r>
    </w:p>
    <w:p w14:paraId="0C4664D3">
      <w:pPr>
        <w:spacing w:line="360" w:lineRule="auto"/>
        <w:rPr>
          <w:rFonts w:ascii="黑体" w:hAnsi="黑体" w:eastAsia="黑体" w:cs="黑体"/>
          <w:sz w:val="44"/>
          <w:szCs w:val="44"/>
        </w:rPr>
      </w:pPr>
      <w:r>
        <w:rPr>
          <w:rFonts w:hint="eastAsia" w:ascii="黑体" w:hAnsi="黑体" w:eastAsia="黑体" w:cs="黑体"/>
          <w:sz w:val="32"/>
          <w:szCs w:val="32"/>
        </w:rPr>
        <w:t>附表</w:t>
      </w:r>
    </w:p>
    <w:p w14:paraId="5A634391">
      <w:pPr>
        <w:spacing w:line="360" w:lineRule="auto"/>
        <w:ind w:left="40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val="en-US" w:eastAsia="zh-CN"/>
        </w:rPr>
        <w:t>富源县</w:t>
      </w:r>
      <w:r>
        <w:rPr>
          <w:rFonts w:hint="eastAsia" w:ascii="方正小标宋简体" w:hAnsi="方正小标宋简体" w:eastAsia="方正小标宋简体" w:cs="方正小标宋简体"/>
          <w:sz w:val="44"/>
          <w:szCs w:val="44"/>
        </w:rPr>
        <w:t>烟草制品零售点排队轮候申请表</w:t>
      </w:r>
    </w:p>
    <w:tbl>
      <w:tblPr>
        <w:tblStyle w:val="7"/>
        <w:tblW w:w="0" w:type="auto"/>
        <w:tblInd w:w="96" w:type="dxa"/>
        <w:tblLayout w:type="fixed"/>
        <w:tblCellMar>
          <w:top w:w="0" w:type="dxa"/>
          <w:left w:w="108" w:type="dxa"/>
          <w:bottom w:w="0" w:type="dxa"/>
          <w:right w:w="108" w:type="dxa"/>
        </w:tblCellMar>
      </w:tblPr>
      <w:tblGrid>
        <w:gridCol w:w="2422"/>
        <w:gridCol w:w="2283"/>
        <w:gridCol w:w="1543"/>
        <w:gridCol w:w="2178"/>
      </w:tblGrid>
      <w:tr w14:paraId="5959BF5D">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08712">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14:paraId="4305D0BC">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A54E8">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20305">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2559A">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DE07A">
            <w:pPr>
              <w:jc w:val="center"/>
              <w:rPr>
                <w:rFonts w:ascii="宋体" w:hAnsi="宋体" w:cs="宋体"/>
                <w:sz w:val="24"/>
              </w:rPr>
            </w:pPr>
          </w:p>
        </w:tc>
      </w:tr>
      <w:tr w14:paraId="1FE7880E">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2ACE7">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476B6">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7BAF9">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65A94">
            <w:pPr>
              <w:jc w:val="center"/>
              <w:rPr>
                <w:rFonts w:ascii="宋体" w:hAnsi="宋体" w:cs="宋体"/>
                <w:sz w:val="24"/>
              </w:rPr>
            </w:pPr>
          </w:p>
        </w:tc>
      </w:tr>
      <w:tr w14:paraId="59B91A3B">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09E06">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0B179">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A8882">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10ACD">
            <w:pPr>
              <w:jc w:val="center"/>
              <w:rPr>
                <w:rFonts w:ascii="宋体" w:hAnsi="宋体" w:cs="宋体"/>
                <w:sz w:val="24"/>
              </w:rPr>
            </w:pPr>
          </w:p>
        </w:tc>
      </w:tr>
      <w:tr w14:paraId="45A189BA">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95B92">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CB55B">
            <w:pPr>
              <w:jc w:val="center"/>
              <w:rPr>
                <w:rFonts w:ascii="宋体" w:hAnsi="宋体" w:cs="宋体"/>
                <w:sz w:val="24"/>
              </w:rPr>
            </w:pPr>
          </w:p>
        </w:tc>
      </w:tr>
      <w:tr w14:paraId="5C89BF1F">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D0FD6">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14:paraId="63CFD062">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A4738">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9C917">
            <w:pPr>
              <w:jc w:val="center"/>
              <w:rPr>
                <w:rFonts w:ascii="宋体" w:hAnsi="宋体" w:cs="宋体"/>
                <w:sz w:val="24"/>
              </w:rPr>
            </w:pPr>
          </w:p>
        </w:tc>
      </w:tr>
      <w:tr w14:paraId="1C198F72">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625F1">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08EEA">
            <w:pPr>
              <w:jc w:val="center"/>
              <w:rPr>
                <w:rFonts w:ascii="宋体" w:hAnsi="宋体" w:cs="宋体"/>
                <w:sz w:val="24"/>
              </w:rPr>
            </w:pPr>
          </w:p>
        </w:tc>
      </w:tr>
      <w:tr w14:paraId="39E403BC">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61A10">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4116A">
            <w:pPr>
              <w:jc w:val="center"/>
              <w:rPr>
                <w:rFonts w:ascii="宋体" w:hAnsi="宋体" w:cs="宋体"/>
                <w:sz w:val="24"/>
              </w:rPr>
            </w:pPr>
          </w:p>
        </w:tc>
      </w:tr>
      <w:tr w14:paraId="43197080">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F4463">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CA817">
            <w:pPr>
              <w:jc w:val="center"/>
              <w:rPr>
                <w:rFonts w:ascii="宋体" w:hAnsi="宋体" w:cs="宋体"/>
                <w:sz w:val="24"/>
              </w:rPr>
            </w:pPr>
          </w:p>
        </w:tc>
      </w:tr>
      <w:tr w14:paraId="51AB6449">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88F333">
            <w:pPr>
              <w:widowControl/>
              <w:jc w:val="left"/>
              <w:textAlignment w:val="center"/>
              <w:rPr>
                <w:rStyle w:val="17"/>
                <w:rFonts w:hint="default"/>
                <w:color w:val="auto"/>
                <w:lang w:bidi="ar"/>
              </w:rPr>
            </w:pPr>
            <w:r>
              <w:rPr>
                <w:rStyle w:val="17"/>
                <w:rFonts w:hint="default"/>
                <w:color w:val="auto"/>
                <w:lang w:bidi="ar"/>
              </w:rPr>
              <w:t>申请人承诺：</w:t>
            </w:r>
          </w:p>
          <w:p w14:paraId="7C7E625F">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14:paraId="12BA08A7">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14:paraId="7574A2DE">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14:paraId="728158C8">
            <w:pPr>
              <w:widowControl/>
              <w:ind w:firstLine="482"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14:paraId="3B7A76A9">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BA66E">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564FA8">
            <w:pPr>
              <w:jc w:val="center"/>
              <w:rPr>
                <w:rFonts w:ascii="宋体" w:hAnsi="宋体" w:cs="宋体"/>
                <w:b/>
                <w:bCs/>
                <w:sz w:val="24"/>
              </w:rPr>
            </w:pPr>
          </w:p>
        </w:tc>
      </w:tr>
    </w:tbl>
    <w:p w14:paraId="32FCF7E6">
      <w:pPr>
        <w:spacing w:line="360" w:lineRule="auto"/>
        <w:ind w:left="402"/>
        <w:rPr>
          <w:rFonts w:ascii="方正小标宋简体" w:hAnsi="方正小标宋简体" w:eastAsia="方正小标宋简体" w:cs="方正小标宋简体"/>
          <w:sz w:val="44"/>
          <w:szCs w:val="44"/>
        </w:rPr>
      </w:pPr>
    </w:p>
    <w:bookmarkEnd w:id="0"/>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方正小标宋简体">
    <w:panose1 w:val="00000600000000000000"/>
    <w:charset w:val="86"/>
    <w:family w:val="script"/>
    <w:pitch w:val="default"/>
    <w:sig w:usb0="800002BF" w:usb1="184F6CF8" w:usb2="00000012" w:usb3="00000000" w:csb0="00160001" w:csb1="1203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A81A5">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35ED9">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2pt;height:144pt;width:144pt;mso-position-horizontal-relative:margin;mso-wrap-style:none;z-index:251659264;mso-width-relative:page;mso-height-relative:page;" filled="f" stroked="f" coordsize="21600,21600" o:gfxdata="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p4Qf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47F35ED9">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D25E">
    <w:pPr>
      <w:pStyle w:val="4"/>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4A28C">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4.8pt;height:144pt;width:144pt;mso-position-horizontal-relative:margin;mso-wrap-style:none;z-index:251660288;mso-width-relative:page;mso-height-relative:page;" filled="f" stroked="f" coordsize="21600,21600" o:gfxdata="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86R+b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2E44A28C">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jNiYzg5YWE1OWRmZGEwYjQ0ZWM3NDUyMmEzMGE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6D819F0"/>
    <w:rsid w:val="079744B6"/>
    <w:rsid w:val="08CF6EC2"/>
    <w:rsid w:val="0DC572FD"/>
    <w:rsid w:val="19BD500C"/>
    <w:rsid w:val="1AAE21D3"/>
    <w:rsid w:val="257539DE"/>
    <w:rsid w:val="27B76E38"/>
    <w:rsid w:val="35161DC9"/>
    <w:rsid w:val="41B52E67"/>
    <w:rsid w:val="47C61E85"/>
    <w:rsid w:val="47D72BF6"/>
    <w:rsid w:val="4B6767A4"/>
    <w:rsid w:val="5567B6FB"/>
    <w:rsid w:val="58DA067F"/>
    <w:rsid w:val="59E75162"/>
    <w:rsid w:val="5A413AF9"/>
    <w:rsid w:val="5B5604A0"/>
    <w:rsid w:val="5C577036"/>
    <w:rsid w:val="5F77A049"/>
    <w:rsid w:val="68A71F32"/>
    <w:rsid w:val="6EDBA522"/>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autoRedefine/>
    <w:qFormat/>
    <w:uiPriority w:val="0"/>
    <w:pPr>
      <w:tabs>
        <w:tab w:val="center" w:pos="4153"/>
        <w:tab w:val="right" w:pos="8306"/>
      </w:tabs>
      <w:snapToGrid w:val="0"/>
      <w:jc w:val="left"/>
    </w:pPr>
    <w:rPr>
      <w:sz w:val="18"/>
      <w:szCs w:val="18"/>
    </w:rPr>
  </w:style>
  <w:style w:type="paragraph" w:styleId="5">
    <w:name w:val="header"/>
    <w:basedOn w:val="1"/>
    <w:link w:val="19"/>
    <w:autoRedefine/>
    <w:qFormat/>
    <w:uiPriority w:val="0"/>
    <w:pPr>
      <w:tabs>
        <w:tab w:val="center" w:pos="4153"/>
        <w:tab w:val="right" w:pos="8306"/>
      </w:tabs>
      <w:snapToGrid w:val="0"/>
      <w:jc w:val="center"/>
    </w:pPr>
    <w:rPr>
      <w:sz w:val="18"/>
      <w:szCs w:val="18"/>
    </w:rPr>
  </w:style>
  <w:style w:type="paragraph" w:styleId="6">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autoRedefine/>
    <w:qFormat/>
    <w:uiPriority w:val="0"/>
    <w:rPr>
      <w:b/>
    </w:rPr>
  </w:style>
  <w:style w:type="paragraph" w:customStyle="1" w:styleId="10">
    <w:name w:val="正文二级标题"/>
    <w:basedOn w:val="1"/>
    <w:autoRedefine/>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autoRedefine/>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autoRedefine/>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autoRedefine/>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autoRedefine/>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autoRedefine/>
    <w:qFormat/>
    <w:uiPriority w:val="0"/>
    <w:rPr>
      <w:rFonts w:hint="eastAsia" w:ascii="黑体" w:hAnsi="黑体" w:eastAsia="宋体" w:cs="宋体"/>
      <w:kern w:val="0"/>
      <w:sz w:val="24"/>
      <w:szCs w:val="28"/>
      <w:lang w:eastAsia="zh-Hans"/>
    </w:rPr>
  </w:style>
  <w:style w:type="paragraph" w:customStyle="1" w:styleId="16">
    <w:name w:val="摘要"/>
    <w:basedOn w:val="1"/>
    <w:autoRedefine/>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autoRedefine/>
    <w:qFormat/>
    <w:uiPriority w:val="0"/>
    <w:rPr>
      <w:rFonts w:hint="eastAsia" w:ascii="宋体" w:hAnsi="宋体" w:eastAsia="宋体" w:cs="宋体"/>
      <w:b/>
      <w:bCs/>
      <w:color w:val="000000"/>
      <w:sz w:val="24"/>
      <w:szCs w:val="24"/>
      <w:u w:val="none"/>
    </w:rPr>
  </w:style>
  <w:style w:type="character" w:customStyle="1" w:styleId="18">
    <w:name w:val="font21"/>
    <w:basedOn w:val="8"/>
    <w:autoRedefine/>
    <w:qFormat/>
    <w:uiPriority w:val="0"/>
    <w:rPr>
      <w:rFonts w:hint="eastAsia" w:ascii="宋体" w:hAnsi="宋体" w:eastAsia="宋体" w:cs="宋体"/>
      <w:b/>
      <w:bCs/>
      <w:color w:val="000000"/>
      <w:sz w:val="24"/>
      <w:szCs w:val="24"/>
      <w:u w:val="single"/>
    </w:rPr>
  </w:style>
  <w:style w:type="character" w:customStyle="1" w:styleId="19">
    <w:name w:val="页眉 字符"/>
    <w:basedOn w:val="8"/>
    <w:link w:val="5"/>
    <w:autoRedefine/>
    <w:qFormat/>
    <w:uiPriority w:val="0"/>
    <w:rPr>
      <w:kern w:val="2"/>
      <w:sz w:val="18"/>
      <w:szCs w:val="18"/>
    </w:rPr>
  </w:style>
  <w:style w:type="character" w:customStyle="1" w:styleId="20">
    <w:name w:val="页脚 字符"/>
    <w:basedOn w:val="8"/>
    <w:link w:val="4"/>
    <w:autoRedefine/>
    <w:qFormat/>
    <w:uiPriority w:val="0"/>
    <w:rPr>
      <w:kern w:val="2"/>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1546</Words>
  <Characters>1549</Characters>
  <Lines>12</Lines>
  <Paragraphs>3</Paragraphs>
  <TotalTime>2</TotalTime>
  <ScaleCrop>false</ScaleCrop>
  <LinksUpToDate>false</LinksUpToDate>
  <CharactersWithSpaces>1630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范羽</cp:lastModifiedBy>
  <dcterms:modified xsi:type="dcterms:W3CDTF">2024-08-23T07:57:20Z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2803E76DCC462C29CDB58A65125D716F_41</vt:lpwstr>
  </property>
</Properties>
</file>