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color w:val="auto"/>
          <w:sz w:val="44"/>
        </w:rPr>
      </w:pPr>
      <w:bookmarkStart w:id="0" w:name="_GoBack"/>
      <w:bookmarkEnd w:id="0"/>
    </w:p>
    <w:p>
      <w:pPr>
        <w:spacing w:line="600" w:lineRule="exact"/>
        <w:jc w:val="center"/>
        <w:rPr>
          <w:rFonts w:eastAsia="方正小标宋_GBK"/>
          <w:color w:val="auto"/>
          <w:sz w:val="44"/>
        </w:rPr>
      </w:pPr>
    </w:p>
    <w:p>
      <w:pPr>
        <w:spacing w:line="600" w:lineRule="exact"/>
        <w:jc w:val="center"/>
        <w:rPr>
          <w:rFonts w:eastAsia="方正小标宋_GBK"/>
          <w:color w:val="auto"/>
          <w:sz w:val="44"/>
        </w:rPr>
      </w:pPr>
      <w:r>
        <w:rPr>
          <w:rFonts w:hint="eastAsia" w:eastAsia="方正小标宋_GBK"/>
          <w:color w:val="auto"/>
          <w:sz w:val="44"/>
        </w:rPr>
        <w:t>富源县巩固脱贫攻坚推进乡村振兴领导小组</w:t>
      </w:r>
    </w:p>
    <w:p>
      <w:pPr>
        <w:spacing w:line="600" w:lineRule="exact"/>
        <w:jc w:val="center"/>
        <w:rPr>
          <w:rFonts w:eastAsia="方正小标宋_GBK"/>
          <w:color w:val="auto"/>
          <w:sz w:val="44"/>
        </w:rPr>
      </w:pPr>
      <w:r>
        <w:rPr>
          <w:rFonts w:hint="eastAsia" w:eastAsia="方正小标宋_GBK"/>
          <w:color w:val="auto"/>
          <w:sz w:val="44"/>
        </w:rPr>
        <w:t>关于印发</w:t>
      </w:r>
      <w:r>
        <w:rPr>
          <w:rFonts w:eastAsia="方正小标宋_GBK"/>
          <w:color w:val="auto"/>
          <w:sz w:val="44"/>
        </w:rPr>
        <w:t>富源县202</w:t>
      </w:r>
      <w:r>
        <w:rPr>
          <w:rFonts w:hint="eastAsia" w:eastAsia="方正小标宋_GBK"/>
          <w:color w:val="auto"/>
          <w:sz w:val="44"/>
        </w:rPr>
        <w:t>3</w:t>
      </w:r>
      <w:r>
        <w:rPr>
          <w:rFonts w:eastAsia="方正小标宋_GBK"/>
          <w:color w:val="auto"/>
          <w:sz w:val="44"/>
        </w:rPr>
        <w:t>年统筹整合使用财政</w:t>
      </w:r>
    </w:p>
    <w:p>
      <w:pPr>
        <w:spacing w:line="600" w:lineRule="exact"/>
        <w:jc w:val="center"/>
        <w:rPr>
          <w:rFonts w:eastAsia="方正小标宋_GBK"/>
          <w:color w:val="auto"/>
          <w:sz w:val="44"/>
        </w:rPr>
      </w:pPr>
      <w:r>
        <w:rPr>
          <w:rFonts w:eastAsia="方正小标宋_GBK"/>
          <w:color w:val="auto"/>
          <w:sz w:val="44"/>
        </w:rPr>
        <w:t>涉农资金</w:t>
      </w:r>
      <w:r>
        <w:rPr>
          <w:rFonts w:hint="eastAsia" w:eastAsia="方正小标宋_GBK"/>
          <w:color w:val="auto"/>
          <w:sz w:val="44"/>
          <w:lang w:eastAsia="zh-CN"/>
        </w:rPr>
        <w:t>年中调整</w:t>
      </w:r>
      <w:r>
        <w:rPr>
          <w:rFonts w:eastAsia="方正小标宋_GBK"/>
          <w:color w:val="auto"/>
          <w:sz w:val="44"/>
        </w:rPr>
        <w:t>方案</w:t>
      </w:r>
      <w:r>
        <w:rPr>
          <w:rFonts w:hint="eastAsia" w:eastAsia="方正小标宋_GBK"/>
          <w:color w:val="auto"/>
          <w:sz w:val="44"/>
        </w:rPr>
        <w:t>的通知</w:t>
      </w:r>
    </w:p>
    <w:p>
      <w:pPr>
        <w:pStyle w:val="3"/>
        <w:ind w:left="0" w:leftChars="0"/>
        <w:rPr>
          <w:rFonts w:eastAsia="方正仿宋_GBK"/>
          <w:color w:val="auto"/>
          <w:kern w:val="2"/>
          <w:sz w:val="32"/>
          <w:lang w:eastAsia="zh-CN" w:bidi="ar-SA"/>
        </w:rPr>
      </w:pPr>
    </w:p>
    <w:p>
      <w:pPr>
        <w:pStyle w:val="3"/>
        <w:ind w:left="0" w:leftChars="0"/>
        <w:rPr>
          <w:rFonts w:eastAsia="方正仿宋_GBK"/>
          <w:color w:val="auto"/>
          <w:kern w:val="2"/>
          <w:sz w:val="32"/>
          <w:lang w:eastAsia="zh-CN" w:bidi="ar-SA"/>
        </w:rPr>
      </w:pPr>
      <w:r>
        <w:rPr>
          <w:rFonts w:hint="eastAsia" w:eastAsia="方正仿宋_GBK"/>
          <w:color w:val="auto"/>
          <w:kern w:val="2"/>
          <w:sz w:val="32"/>
          <w:lang w:eastAsia="zh-CN" w:bidi="ar-SA"/>
        </w:rPr>
        <w:t>各乡（镇）人民政府、街道办事处，县直有关单位：</w:t>
      </w:r>
    </w:p>
    <w:p>
      <w:pPr>
        <w:spacing w:line="600" w:lineRule="exact"/>
        <w:ind w:firstLine="615"/>
        <w:rPr>
          <w:color w:val="auto"/>
        </w:rPr>
      </w:pPr>
      <w:r>
        <w:rPr>
          <w:rFonts w:hint="eastAsia"/>
          <w:color w:val="auto"/>
        </w:rPr>
        <w:t>现将《</w:t>
      </w:r>
      <w:r>
        <w:rPr>
          <w:color w:val="auto"/>
        </w:rPr>
        <w:t>富源县202</w:t>
      </w:r>
      <w:r>
        <w:rPr>
          <w:rFonts w:hint="eastAsia"/>
          <w:color w:val="auto"/>
        </w:rPr>
        <w:t>3</w:t>
      </w:r>
      <w:r>
        <w:rPr>
          <w:color w:val="auto"/>
        </w:rPr>
        <w:t>年统筹整合使用财政涉农资金</w:t>
      </w:r>
      <w:r>
        <w:rPr>
          <w:rFonts w:hint="eastAsia"/>
          <w:color w:val="auto"/>
          <w:lang w:eastAsia="zh-CN"/>
        </w:rPr>
        <w:t>年中调整</w:t>
      </w:r>
      <w:r>
        <w:rPr>
          <w:color w:val="auto"/>
        </w:rPr>
        <w:t>方案</w:t>
      </w:r>
      <w:r>
        <w:rPr>
          <w:rFonts w:hint="eastAsia"/>
          <w:color w:val="auto"/>
        </w:rPr>
        <w:t>》印发给你们，请认真贯彻执行。</w:t>
      </w:r>
    </w:p>
    <w:p>
      <w:pPr>
        <w:pStyle w:val="2"/>
        <w:ind w:firstLine="615"/>
        <w:rPr>
          <w:rFonts w:eastAsia="方正仿宋_GBK"/>
          <w:color w:val="auto"/>
          <w:kern w:val="2"/>
          <w:sz w:val="32"/>
          <w:lang w:eastAsia="zh-CN" w:bidi="ar-SA"/>
        </w:rPr>
      </w:pPr>
    </w:p>
    <w:p>
      <w:pPr>
        <w:pStyle w:val="3"/>
        <w:ind w:left="2494" w:firstLine="156" w:firstLineChars="50"/>
        <w:rPr>
          <w:rFonts w:eastAsia="方正仿宋_GBK"/>
          <w:color w:val="auto"/>
          <w:kern w:val="2"/>
          <w:sz w:val="32"/>
          <w:lang w:eastAsia="zh-CN" w:bidi="ar-SA"/>
        </w:rPr>
      </w:pPr>
      <w:r>
        <w:rPr>
          <w:rFonts w:hint="eastAsia" w:eastAsia="方正仿宋_GBK"/>
          <w:color w:val="auto"/>
          <w:kern w:val="2"/>
          <w:sz w:val="32"/>
          <w:lang w:eastAsia="zh-CN" w:bidi="ar-SA"/>
        </w:rPr>
        <w:t xml:space="preserve"> 富源县巩固脱贫攻坚推进乡村振兴领导小组</w:t>
      </w:r>
    </w:p>
    <w:p>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202</w:t>
      </w:r>
      <w:r>
        <w:rPr>
          <w:rFonts w:hint="eastAsia"/>
          <w:color w:val="auto"/>
        </w:rPr>
        <w:t>3年</w:t>
      </w:r>
      <w:r>
        <w:rPr>
          <w:rFonts w:hint="eastAsia"/>
          <w:color w:val="auto"/>
          <w:lang w:val="en-US" w:eastAsia="zh-CN"/>
        </w:rPr>
        <w:t>8</w:t>
      </w:r>
      <w:r>
        <w:rPr>
          <w:rFonts w:hint="eastAsia"/>
          <w:color w:val="auto"/>
        </w:rPr>
        <w:t>月1</w:t>
      </w:r>
      <w:r>
        <w:rPr>
          <w:rFonts w:hint="eastAsia"/>
          <w:color w:val="auto"/>
          <w:lang w:val="en-US" w:eastAsia="zh-CN"/>
        </w:rPr>
        <w:t>5</w:t>
      </w:r>
      <w:r>
        <w:rPr>
          <w:rFonts w:hint="eastAsia"/>
          <w:color w:val="auto"/>
        </w:rPr>
        <w:t>日</w:t>
      </w:r>
    </w:p>
    <w:p>
      <w:pPr>
        <w:rPr>
          <w:color w:val="auto"/>
        </w:rPr>
      </w:pPr>
    </w:p>
    <w:p>
      <w:pPr>
        <w:pStyle w:val="2"/>
        <w:rPr>
          <w:color w:val="auto"/>
          <w:lang w:eastAsia="zh-CN" w:bidi="ar-SA"/>
        </w:rPr>
      </w:pPr>
    </w:p>
    <w:p>
      <w:pPr>
        <w:pStyle w:val="3"/>
        <w:ind w:left="2494"/>
        <w:rPr>
          <w:color w:val="auto"/>
          <w:lang w:eastAsia="zh-CN" w:bidi="ar-SA"/>
        </w:rPr>
      </w:pPr>
    </w:p>
    <w:p>
      <w:pPr>
        <w:spacing w:line="600" w:lineRule="exact"/>
        <w:rPr>
          <w:rFonts w:eastAsia="方正小标宋_GBK"/>
          <w:color w:val="auto"/>
          <w:sz w:val="44"/>
        </w:rPr>
      </w:pPr>
    </w:p>
    <w:p>
      <w:pPr>
        <w:spacing w:line="600" w:lineRule="exact"/>
        <w:jc w:val="center"/>
        <w:rPr>
          <w:rFonts w:eastAsia="方正小标宋_GBK"/>
          <w:color w:val="auto"/>
          <w:sz w:val="44"/>
        </w:rPr>
      </w:pPr>
    </w:p>
    <w:p>
      <w:pPr>
        <w:spacing w:line="600" w:lineRule="exact"/>
        <w:jc w:val="center"/>
        <w:rPr>
          <w:rFonts w:eastAsia="方正小标宋_GBK"/>
          <w:color w:val="auto"/>
          <w:sz w:val="44"/>
        </w:rPr>
      </w:pPr>
    </w:p>
    <w:p>
      <w:pPr>
        <w:pStyle w:val="2"/>
        <w:rPr>
          <w:color w:val="auto"/>
          <w:lang w:eastAsia="zh-CN" w:bidi="ar-SA"/>
        </w:rPr>
      </w:pPr>
    </w:p>
    <w:p>
      <w:pPr>
        <w:spacing w:line="600" w:lineRule="exact"/>
        <w:jc w:val="center"/>
        <w:rPr>
          <w:rFonts w:eastAsia="方正小标宋_GBK"/>
          <w:color w:val="auto"/>
          <w:sz w:val="44"/>
        </w:rPr>
      </w:pPr>
      <w:r>
        <w:rPr>
          <w:rFonts w:eastAsia="方正小标宋_GBK"/>
          <w:color w:val="auto"/>
          <w:sz w:val="44"/>
        </w:rPr>
        <w:t>富源县202</w:t>
      </w:r>
      <w:r>
        <w:rPr>
          <w:rFonts w:hint="eastAsia" w:eastAsia="方正小标宋_GBK"/>
          <w:color w:val="auto"/>
          <w:sz w:val="44"/>
        </w:rPr>
        <w:t>3</w:t>
      </w:r>
      <w:r>
        <w:rPr>
          <w:rFonts w:eastAsia="方正小标宋_GBK"/>
          <w:color w:val="auto"/>
          <w:sz w:val="44"/>
        </w:rPr>
        <w:t>年统筹整合使用财政</w:t>
      </w:r>
    </w:p>
    <w:p>
      <w:pPr>
        <w:spacing w:line="600" w:lineRule="exact"/>
        <w:jc w:val="center"/>
        <w:rPr>
          <w:rFonts w:eastAsia="方正小标宋_GBK"/>
          <w:color w:val="auto"/>
          <w:sz w:val="44"/>
        </w:rPr>
      </w:pPr>
      <w:r>
        <w:rPr>
          <w:rFonts w:eastAsia="方正小标宋_GBK"/>
          <w:color w:val="auto"/>
          <w:sz w:val="44"/>
        </w:rPr>
        <w:t>涉农资金</w:t>
      </w:r>
      <w:r>
        <w:rPr>
          <w:rFonts w:hint="eastAsia" w:eastAsia="方正小标宋_GBK"/>
          <w:color w:val="auto"/>
          <w:sz w:val="44"/>
          <w:lang w:eastAsia="zh-CN"/>
        </w:rPr>
        <w:t>年中调整</w:t>
      </w:r>
      <w:r>
        <w:rPr>
          <w:rFonts w:eastAsia="方正小标宋_GBK"/>
          <w:color w:val="auto"/>
          <w:sz w:val="44"/>
        </w:rPr>
        <w:t>方案</w:t>
      </w:r>
    </w:p>
    <w:p>
      <w:pPr>
        <w:pStyle w:val="2"/>
        <w:spacing w:after="0" w:line="600" w:lineRule="exact"/>
        <w:rPr>
          <w:color w:val="auto"/>
          <w:lang w:eastAsia="zh-CN" w:bidi="ar-SA"/>
        </w:rPr>
      </w:pPr>
    </w:p>
    <w:p>
      <w:pPr>
        <w:spacing w:line="600" w:lineRule="exact"/>
        <w:ind w:firstLine="624" w:firstLineChars="200"/>
        <w:rPr>
          <w:color w:val="auto"/>
        </w:rPr>
      </w:pPr>
      <w:r>
        <w:rPr>
          <w:bCs/>
          <w:color w:val="auto"/>
          <w:szCs w:val="32"/>
        </w:rPr>
        <w:t>为</w:t>
      </w:r>
      <w:r>
        <w:rPr>
          <w:color w:val="auto"/>
          <w:szCs w:val="32"/>
        </w:rPr>
        <w:t>深入贯彻落实党中央、国务院关于实现巩固拓展脱贫攻坚成果同乡村振兴有效衔接的重大决策部署，</w:t>
      </w:r>
      <w:r>
        <w:rPr>
          <w:color w:val="auto"/>
        </w:rPr>
        <w:t>根据《国务院办公厅关于支持贫困县开展统筹整合使用财政涉农资金试点的意见》（国办发〔2016〕22号）、《中共云南省委办公厅云南省人民政府办公厅〈关于印发贫困县统筹整合使用财政涉农资金试点方案〉的通知》（云厅字〔2016〕20号）、《财政部关于印发&lt;财政部贯彻落实中共中央国务院关于实现巩固拓展脱贫攻坚成果同乡村振兴有效衔接的意见实施方案&gt;的通知》（财办〔2021〕16号）、《关于继续支持脱贫县统筹整合使用财政涉农资金工作的通知》（财农〔2021〕22号）</w:t>
      </w:r>
      <w:r>
        <w:rPr>
          <w:rFonts w:hint="eastAsia"/>
          <w:color w:val="auto"/>
        </w:rPr>
        <w:t>、</w:t>
      </w:r>
      <w:r>
        <w:rPr>
          <w:rFonts w:hint="eastAsia" w:ascii="Times New Roman" w:hAnsi="Times New Roman" w:cs="Times New Roman"/>
          <w:color w:val="auto"/>
        </w:rPr>
        <w:t>《关于做好2023年脱贫县统筹整合使用财政涉农资金方案编制工作的通知》（曲巩固振兴组办便笺</w:t>
      </w:r>
      <w:r>
        <w:rPr>
          <w:rFonts w:ascii="Times New Roman" w:hAnsi="Times New Roman" w:cs="Times New Roman"/>
          <w:color w:val="auto"/>
        </w:rPr>
        <w:t>〔202</w:t>
      </w:r>
      <w:r>
        <w:rPr>
          <w:rFonts w:hint="eastAsia" w:ascii="Times New Roman" w:hAnsi="Times New Roman" w:cs="Times New Roman"/>
          <w:color w:val="auto"/>
          <w:lang w:val="en-US" w:eastAsia="zh-CN"/>
        </w:rPr>
        <w:t>3</w:t>
      </w:r>
      <w:r>
        <w:rPr>
          <w:rFonts w:ascii="Times New Roman" w:hAnsi="Times New Roman" w:cs="Times New Roman"/>
          <w:color w:val="auto"/>
        </w:rPr>
        <w:t>〕</w:t>
      </w:r>
      <w:r>
        <w:rPr>
          <w:rFonts w:hint="eastAsia" w:ascii="Times New Roman" w:hAnsi="Times New Roman" w:cs="Times New Roman"/>
          <w:color w:val="auto"/>
        </w:rPr>
        <w:t>9号</w:t>
      </w:r>
      <w:r>
        <w:rPr>
          <w:rFonts w:hint="eastAsia" w:ascii="Times New Roman" w:hAnsi="Times New Roman" w:cs="Times New Roman"/>
          <w:color w:val="auto"/>
          <w:lang w:eastAsia="zh-CN"/>
        </w:rPr>
        <w:t>）</w:t>
      </w:r>
      <w:r>
        <w:rPr>
          <w:color w:val="auto"/>
        </w:rPr>
        <w:t>等</w:t>
      </w:r>
      <w:r>
        <w:rPr>
          <w:rFonts w:hint="eastAsia"/>
          <w:color w:val="auto"/>
        </w:rPr>
        <w:t>文件</w:t>
      </w:r>
      <w:r>
        <w:rPr>
          <w:color w:val="auto"/>
        </w:rPr>
        <w:t>精神及工作要求，结合富源县巩固</w:t>
      </w:r>
      <w:r>
        <w:rPr>
          <w:color w:val="auto"/>
          <w:szCs w:val="32"/>
        </w:rPr>
        <w:t>拓展脱贫攻坚成果同乡村振兴有效衔接</w:t>
      </w:r>
      <w:r>
        <w:rPr>
          <w:color w:val="auto"/>
        </w:rPr>
        <w:t>工作实际，制订本方案。</w:t>
      </w:r>
    </w:p>
    <w:p>
      <w:pPr>
        <w:spacing w:line="600" w:lineRule="exact"/>
        <w:ind w:firstLine="624" w:firstLineChars="200"/>
        <w:rPr>
          <w:rFonts w:eastAsia="方正黑体_GBK"/>
          <w:color w:val="auto"/>
        </w:rPr>
      </w:pPr>
      <w:r>
        <w:rPr>
          <w:rFonts w:eastAsia="方正黑体_GBK"/>
          <w:color w:val="auto"/>
        </w:rPr>
        <w:t>一、指导思想</w:t>
      </w:r>
    </w:p>
    <w:p>
      <w:pPr>
        <w:spacing w:line="600" w:lineRule="exact"/>
        <w:ind w:firstLine="624" w:firstLineChars="200"/>
        <w:rPr>
          <w:color w:val="auto"/>
        </w:rPr>
      </w:pPr>
      <w:r>
        <w:rPr>
          <w:color w:val="auto"/>
        </w:rPr>
        <w:t>坚持以习近平新时代中国特色社会主义思想为指导，深入学习贯彻习近平总书记关于</w:t>
      </w:r>
      <w:r>
        <w:rPr>
          <w:color w:val="auto"/>
          <w:szCs w:val="32"/>
        </w:rPr>
        <w:t>巩固拓展脱贫攻坚成果同乡村振兴有效衔接</w:t>
      </w:r>
      <w:r>
        <w:rPr>
          <w:color w:val="auto"/>
        </w:rPr>
        <w:t>工作重要论述，按照</w:t>
      </w:r>
      <w:r>
        <w:rPr>
          <w:rFonts w:hint="eastAsia"/>
          <w:color w:val="auto"/>
          <w:lang w:eastAsia="zh-CN"/>
        </w:rPr>
        <w:t>中央、省、市</w:t>
      </w:r>
      <w:r>
        <w:rPr>
          <w:color w:val="auto"/>
        </w:rPr>
        <w:t>的决策部署，紧紧围绕“十四五”时期富源县巩固拓展脱贫攻坚成果同乡村振兴有效衔接工作目标，充分发挥已脱贫县统筹整合使用财政涉农资金自主权，按照“</w:t>
      </w:r>
      <w:r>
        <w:rPr>
          <w:rFonts w:hint="eastAsia"/>
          <w:color w:val="auto"/>
          <w:lang w:val="en-US" w:eastAsia="zh-CN"/>
        </w:rPr>
        <w:t>因需而</w:t>
      </w:r>
      <w:r>
        <w:rPr>
          <w:color w:val="auto"/>
        </w:rPr>
        <w:t>整”要求，加大统筹整合资金投入力度，坚持先急后缓、积极稳妥、精准安排、统筹兼顾的原则，以</w:t>
      </w:r>
      <w:r>
        <w:rPr>
          <w:color w:val="auto"/>
          <w:szCs w:val="32"/>
        </w:rPr>
        <w:t>巩固拓展脱贫攻坚成果同乡村振兴有效衔接为</w:t>
      </w:r>
      <w:r>
        <w:rPr>
          <w:color w:val="auto"/>
        </w:rPr>
        <w:t>导向，以完善农村基础设施，提高产业发展水平为重点，优化使用机制，提高配置效率，强力推进整合资金项目及时落地生根，确保圆满完成年度</w:t>
      </w:r>
      <w:r>
        <w:rPr>
          <w:color w:val="auto"/>
          <w:szCs w:val="32"/>
        </w:rPr>
        <w:t>巩固拓展脱贫攻坚成果同乡村振兴有效衔接工作</w:t>
      </w:r>
      <w:r>
        <w:rPr>
          <w:color w:val="auto"/>
        </w:rPr>
        <w:t>任务。</w:t>
      </w:r>
    </w:p>
    <w:p>
      <w:pPr>
        <w:spacing w:line="600" w:lineRule="exact"/>
        <w:ind w:firstLine="624" w:firstLineChars="200"/>
        <w:rPr>
          <w:color w:val="auto"/>
          <w:szCs w:val="32"/>
        </w:rPr>
      </w:pPr>
      <w:r>
        <w:rPr>
          <w:rFonts w:eastAsia="方正楷体_GBK"/>
          <w:color w:val="auto"/>
        </w:rPr>
        <w:t>（一）明确分工，各负其责。</w:t>
      </w:r>
      <w:r>
        <w:rPr>
          <w:color w:val="auto"/>
        </w:rPr>
        <w:t>建立县统筹整合使用财政涉农资金工作领导小组联席会议制度，审查确定年度涉农资金整合使用方案，解决工作中遇到的实际问题。县统筹整合</w:t>
      </w:r>
      <w:r>
        <w:rPr>
          <w:rFonts w:hint="eastAsia"/>
          <w:color w:val="auto"/>
        </w:rPr>
        <w:t>使用</w:t>
      </w:r>
      <w:r>
        <w:rPr>
          <w:color w:val="auto"/>
        </w:rPr>
        <w:t>财政涉农资金工作领导小组做好</w:t>
      </w:r>
      <w:r>
        <w:rPr>
          <w:color w:val="auto"/>
          <w:szCs w:val="32"/>
        </w:rPr>
        <w:t>巩固拓展脱贫攻坚成果同乡村振兴有效衔接</w:t>
      </w:r>
      <w:r>
        <w:rPr>
          <w:color w:val="auto"/>
        </w:rPr>
        <w:t>项目储备，承担整合资金项目的监督检查、绩效评价、年度考核等工作。各乡（镇）、街道和部门负责制定本地、本部门基础设施和产业发展规划及专项规划，实现巩固拓展脱贫攻坚成果同乡村振兴有效衔</w:t>
      </w:r>
      <w:r>
        <w:rPr>
          <w:color w:val="auto"/>
          <w:szCs w:val="32"/>
        </w:rPr>
        <w:t>接。</w:t>
      </w:r>
    </w:p>
    <w:p>
      <w:pPr>
        <w:spacing w:line="600" w:lineRule="exact"/>
        <w:ind w:firstLine="624" w:firstLineChars="200"/>
        <w:rPr>
          <w:color w:val="auto"/>
        </w:rPr>
      </w:pPr>
      <w:r>
        <w:rPr>
          <w:rFonts w:eastAsia="方正楷体_GBK"/>
          <w:color w:val="auto"/>
        </w:rPr>
        <w:t>（二）提高效益，促进发展。</w:t>
      </w:r>
      <w:r>
        <w:rPr>
          <w:color w:val="auto"/>
        </w:rPr>
        <w:t>县统筹整合涉农资金工作领导小组办公室根据</w:t>
      </w:r>
      <w:r>
        <w:rPr>
          <w:rFonts w:hint="eastAsia"/>
          <w:color w:val="auto"/>
          <w:lang w:eastAsia="zh-CN"/>
        </w:rPr>
        <w:t>全县</w:t>
      </w:r>
      <w:r>
        <w:rPr>
          <w:color w:val="auto"/>
        </w:rPr>
        <w:t>巩固拓展脱贫攻坚成果同乡</w:t>
      </w:r>
      <w:r>
        <w:rPr>
          <w:color w:val="auto"/>
          <w:szCs w:val="32"/>
        </w:rPr>
        <w:t>村振兴有效衔接</w:t>
      </w:r>
      <w:r>
        <w:rPr>
          <w:color w:val="auto"/>
        </w:rPr>
        <w:t>计划和资金需求额度，确定本年度涉农资金整合规模。</w:t>
      </w:r>
      <w:r>
        <w:rPr>
          <w:rFonts w:hint="eastAsia"/>
          <w:color w:val="auto"/>
        </w:rPr>
        <w:t>按照项目绩效目标总体要求，</w:t>
      </w:r>
      <w:r>
        <w:rPr>
          <w:color w:val="auto"/>
        </w:rPr>
        <w:t>提高项目资金整合的综合效益。</w:t>
      </w:r>
    </w:p>
    <w:p>
      <w:pPr>
        <w:spacing w:line="600" w:lineRule="exact"/>
        <w:ind w:firstLine="624" w:firstLineChars="200"/>
        <w:rPr>
          <w:color w:val="auto"/>
        </w:rPr>
      </w:pPr>
      <w:r>
        <w:rPr>
          <w:rFonts w:eastAsia="方正楷体_GBK"/>
          <w:color w:val="auto"/>
        </w:rPr>
        <w:t>（三）科学规划，突出重点。</w:t>
      </w:r>
      <w:r>
        <w:rPr>
          <w:color w:val="auto"/>
        </w:rPr>
        <w:t>按照“多个渠道引水、一个池子蓄水、一个龙头放水”</w:t>
      </w:r>
      <w:r>
        <w:rPr>
          <w:rFonts w:hint="eastAsia"/>
          <w:color w:val="auto"/>
        </w:rPr>
        <w:t>的原则，</w:t>
      </w:r>
      <w:r>
        <w:rPr>
          <w:rFonts w:hint="eastAsia"/>
          <w:color w:val="auto"/>
          <w:lang w:eastAsia="zh-CN"/>
        </w:rPr>
        <w:t>坚持</w:t>
      </w:r>
      <w:r>
        <w:rPr>
          <w:color w:val="auto"/>
        </w:rPr>
        <w:t>规划引领、项目支撑</w:t>
      </w:r>
      <w:r>
        <w:rPr>
          <w:rFonts w:hint="eastAsia"/>
          <w:color w:val="auto"/>
        </w:rPr>
        <w:t>和</w:t>
      </w:r>
      <w:r>
        <w:rPr>
          <w:color w:val="auto"/>
        </w:rPr>
        <w:t>集中投入等要求，紧紧围绕全县特色优势产业，针对基础设施建设薄弱环节和乡村振兴重点领域，加大推进涉农资金整合工作力度，避免资金使用“碎片化”。</w:t>
      </w:r>
    </w:p>
    <w:p>
      <w:pPr>
        <w:spacing w:line="600" w:lineRule="exact"/>
        <w:ind w:firstLine="624" w:firstLineChars="200"/>
        <w:rPr>
          <w:color w:val="auto"/>
        </w:rPr>
      </w:pPr>
      <w:r>
        <w:rPr>
          <w:rFonts w:eastAsia="方正楷体_GBK"/>
          <w:color w:val="auto"/>
        </w:rPr>
        <w:t>（四）积极稳妥，全面推进</w:t>
      </w:r>
      <w:r>
        <w:rPr>
          <w:color w:val="auto"/>
        </w:rPr>
        <w:t>。在总结经验、完善机制的基础上，做到“</w:t>
      </w:r>
      <w:r>
        <w:rPr>
          <w:rFonts w:hint="eastAsia"/>
          <w:color w:val="auto"/>
          <w:lang w:val="en-US" w:eastAsia="zh-CN"/>
        </w:rPr>
        <w:t>因需而整</w:t>
      </w:r>
      <w:r>
        <w:rPr>
          <w:color w:val="auto"/>
        </w:rPr>
        <w:t>”。充分发挥好整合平台作用，积极探索整合的有效方法和途径。转变财政涉农资金管理方式，创新机制，集中财力，</w:t>
      </w:r>
      <w:r>
        <w:rPr>
          <w:bCs/>
          <w:color w:val="auto"/>
          <w:szCs w:val="32"/>
        </w:rPr>
        <w:t>巩固脱贫攻坚成果、防范返贫致贫风险、深入推进乡村振兴，实现巩固拓展脱贫攻坚成果同乡村振兴有效衔接。</w:t>
      </w:r>
    </w:p>
    <w:p>
      <w:pPr>
        <w:spacing w:line="600" w:lineRule="exact"/>
        <w:ind w:firstLine="624" w:firstLineChars="200"/>
        <w:rPr>
          <w:rFonts w:eastAsia="方正黑体_GBK"/>
          <w:color w:val="auto"/>
        </w:rPr>
      </w:pPr>
      <w:r>
        <w:rPr>
          <w:rFonts w:eastAsia="方正黑体_GBK"/>
          <w:color w:val="auto"/>
        </w:rPr>
        <w:t>二、主要目标</w:t>
      </w:r>
    </w:p>
    <w:p>
      <w:pPr>
        <w:pStyle w:val="2"/>
        <w:spacing w:after="0" w:line="600" w:lineRule="exact"/>
        <w:ind w:firstLine="624" w:firstLineChars="200"/>
        <w:rPr>
          <w:rFonts w:eastAsia="方正仿宋_GBK"/>
          <w:color w:val="auto"/>
          <w:kern w:val="2"/>
          <w:sz w:val="32"/>
          <w:szCs w:val="32"/>
          <w:lang w:eastAsia="zh-CN" w:bidi="ar-SA"/>
        </w:rPr>
      </w:pPr>
      <w:r>
        <w:rPr>
          <w:rFonts w:eastAsia="方正仿宋_GBK"/>
          <w:color w:val="auto"/>
          <w:kern w:val="2"/>
          <w:sz w:val="32"/>
          <w:szCs w:val="32"/>
          <w:lang w:eastAsia="zh-CN" w:bidi="ar-SA"/>
        </w:rPr>
        <w:t>脱贫攻坚成果全面巩固拓展，乡村振兴全面推进，脱贫地区经济活力和发展后劲明显增强，乡村产业质量效益和竞争力进一步提高，农村基础设施和基本公共服务水平进一步提升，生态环境持续改善，美丽宜居乡村建设扎实推进，乡风文明建设取得显著进展，农村基层组织建设不断加强，农村低收入人口分类帮扶长效机制逐步完善。确保农村脱贫人口巩固率保持在98%以上，脱贫地区农民收入增速高于全省、全市农民平均水平。</w:t>
      </w:r>
    </w:p>
    <w:p>
      <w:pPr>
        <w:spacing w:line="600" w:lineRule="exact"/>
        <w:ind w:firstLine="624" w:firstLineChars="200"/>
        <w:rPr>
          <w:rFonts w:eastAsia="方正黑体_GBK"/>
          <w:color w:val="auto"/>
        </w:rPr>
      </w:pPr>
      <w:r>
        <w:rPr>
          <w:rFonts w:eastAsia="方正黑体_GBK"/>
          <w:color w:val="auto"/>
        </w:rPr>
        <w:t>三、统筹整合资金范围及规模</w:t>
      </w:r>
    </w:p>
    <w:p>
      <w:pPr>
        <w:spacing w:line="600" w:lineRule="exact"/>
        <w:ind w:firstLine="624" w:firstLineChars="200"/>
        <w:rPr>
          <w:color w:val="auto"/>
        </w:rPr>
      </w:pPr>
      <w:r>
        <w:rPr>
          <w:color w:val="auto"/>
        </w:rPr>
        <w:t>对上级下达富源县的1</w:t>
      </w:r>
      <w:r>
        <w:rPr>
          <w:rFonts w:hint="eastAsia"/>
          <w:color w:val="auto"/>
          <w:lang w:val="en-US" w:eastAsia="zh-CN"/>
        </w:rPr>
        <w:t>8</w:t>
      </w:r>
      <w:r>
        <w:rPr>
          <w:color w:val="auto"/>
        </w:rPr>
        <w:t>项中央资金、省级财政衔接推进乡村振兴补助资金、除财政衔接推进乡村振兴补助资金外省级统筹整合涉农资金、市级统筹整合财政涉农资金以及县级以前年度项目结余资金和审计审减资金纳入统筹整合范围。整合涉及财政、</w:t>
      </w:r>
      <w:r>
        <w:rPr>
          <w:rFonts w:hint="eastAsia"/>
          <w:color w:val="auto"/>
        </w:rPr>
        <w:t>乡村振兴</w:t>
      </w:r>
      <w:r>
        <w:rPr>
          <w:color w:val="auto"/>
        </w:rPr>
        <w:t>、水务、农业农村、交通运输、</w:t>
      </w:r>
      <w:r>
        <w:rPr>
          <w:rFonts w:hint="eastAsia"/>
          <w:color w:val="auto"/>
        </w:rPr>
        <w:t>发展改革、教育体育</w:t>
      </w:r>
      <w:r>
        <w:rPr>
          <w:color w:val="auto"/>
        </w:rPr>
        <w:t>等县直单位资金。按照统筹整合项目建设需求和整合资金计划，202</w:t>
      </w:r>
      <w:r>
        <w:rPr>
          <w:rFonts w:hint="eastAsia"/>
          <w:color w:val="auto"/>
        </w:rPr>
        <w:t>3</w:t>
      </w:r>
      <w:r>
        <w:rPr>
          <w:color w:val="auto"/>
        </w:rPr>
        <w:t>年富源县年初计划统筹整合财政涉农资金规模为</w:t>
      </w:r>
      <w:r>
        <w:rPr>
          <w:rFonts w:hint="eastAsia"/>
          <w:color w:val="auto"/>
        </w:rPr>
        <w:t>14763.48</w:t>
      </w:r>
      <w:r>
        <w:rPr>
          <w:color w:val="auto"/>
        </w:rPr>
        <w:t>万元，</w:t>
      </w:r>
      <w:r>
        <w:rPr>
          <w:rFonts w:hint="eastAsia"/>
          <w:color w:val="auto"/>
          <w:lang w:eastAsia="zh-CN"/>
        </w:rPr>
        <w:t>现根据到位资金及项目安排情况，年中调整统筹整合财政涉农资金规模为</w:t>
      </w:r>
      <w:r>
        <w:rPr>
          <w:rFonts w:hint="eastAsia"/>
          <w:color w:val="auto"/>
          <w:lang w:val="en-US" w:eastAsia="zh-CN"/>
        </w:rPr>
        <w:t>18547.38万元，</w:t>
      </w:r>
      <w:r>
        <w:rPr>
          <w:color w:val="auto"/>
        </w:rPr>
        <w:t>其中：中央</w:t>
      </w:r>
      <w:r>
        <w:rPr>
          <w:rFonts w:hint="eastAsia"/>
          <w:color w:val="auto"/>
        </w:rPr>
        <w:t>资金</w:t>
      </w:r>
      <w:r>
        <w:rPr>
          <w:rFonts w:hint="eastAsia"/>
          <w:color w:val="auto"/>
          <w:lang w:val="en-US" w:eastAsia="zh-CN"/>
        </w:rPr>
        <w:t>1341</w:t>
      </w:r>
      <w:r>
        <w:rPr>
          <w:rFonts w:hint="eastAsia"/>
          <w:color w:val="auto"/>
        </w:rPr>
        <w:t>7.48</w:t>
      </w:r>
      <w:r>
        <w:rPr>
          <w:color w:val="auto"/>
        </w:rPr>
        <w:t>万元</w:t>
      </w:r>
      <w:r>
        <w:rPr>
          <w:rFonts w:hint="eastAsia"/>
          <w:color w:val="auto"/>
        </w:rPr>
        <w:t>，省级资金</w:t>
      </w:r>
      <w:r>
        <w:rPr>
          <w:rFonts w:hint="eastAsia"/>
          <w:color w:val="auto"/>
          <w:lang w:val="en-US" w:eastAsia="zh-CN"/>
        </w:rPr>
        <w:t>5129.9</w:t>
      </w:r>
      <w:r>
        <w:rPr>
          <w:rFonts w:hint="eastAsia"/>
          <w:color w:val="auto"/>
        </w:rPr>
        <w:t>万元</w:t>
      </w:r>
      <w:r>
        <w:rPr>
          <w:color w:val="auto"/>
        </w:rPr>
        <w:t>。</w:t>
      </w:r>
    </w:p>
    <w:p>
      <w:pPr>
        <w:spacing w:line="600" w:lineRule="exact"/>
        <w:ind w:firstLine="624" w:firstLineChars="200"/>
        <w:rPr>
          <w:rFonts w:eastAsia="方正黑体_GBK"/>
          <w:color w:val="auto"/>
        </w:rPr>
      </w:pPr>
      <w:r>
        <w:rPr>
          <w:rFonts w:eastAsia="方正黑体_GBK"/>
          <w:color w:val="auto"/>
        </w:rPr>
        <w:t>四、年度建设任务与资金使用安排</w:t>
      </w:r>
    </w:p>
    <w:p>
      <w:pPr>
        <w:spacing w:line="600" w:lineRule="exact"/>
        <w:ind w:firstLine="624" w:firstLineChars="200"/>
        <w:rPr>
          <w:color w:val="auto"/>
        </w:rPr>
      </w:pPr>
      <w:r>
        <w:rPr>
          <w:color w:val="auto"/>
        </w:rPr>
        <w:t>根据富源县202</w:t>
      </w:r>
      <w:r>
        <w:rPr>
          <w:rFonts w:hint="eastAsia"/>
          <w:color w:val="auto"/>
        </w:rPr>
        <w:t>3</w:t>
      </w:r>
      <w:r>
        <w:rPr>
          <w:color w:val="auto"/>
        </w:rPr>
        <w:t>年巩固拓展脱贫攻坚成果同乡村振兴有效衔接工作要求</w:t>
      </w:r>
      <w:r>
        <w:rPr>
          <w:color w:val="auto"/>
          <w:szCs w:val="32"/>
        </w:rPr>
        <w:t>和</w:t>
      </w:r>
      <w:r>
        <w:rPr>
          <w:color w:val="auto"/>
        </w:rPr>
        <w:t>整合资金规模，202</w:t>
      </w:r>
      <w:r>
        <w:rPr>
          <w:rFonts w:hint="eastAsia"/>
          <w:color w:val="auto"/>
        </w:rPr>
        <w:t>3</w:t>
      </w:r>
      <w:r>
        <w:rPr>
          <w:color w:val="auto"/>
        </w:rPr>
        <w:t>年统筹整合涉农资金</w:t>
      </w:r>
      <w:r>
        <w:rPr>
          <w:rFonts w:hint="eastAsia"/>
          <w:color w:val="auto"/>
          <w:lang w:eastAsia="zh-CN"/>
        </w:rPr>
        <w:t>年中调整</w:t>
      </w:r>
      <w:r>
        <w:rPr>
          <w:rFonts w:hint="eastAsia"/>
          <w:color w:val="auto"/>
        </w:rPr>
        <w:t>方案总投资规模为</w:t>
      </w:r>
      <w:r>
        <w:rPr>
          <w:rFonts w:hint="eastAsia"/>
          <w:color w:val="auto"/>
          <w:lang w:val="en-US" w:eastAsia="zh-CN"/>
        </w:rPr>
        <w:t>18547.38</w:t>
      </w:r>
      <w:r>
        <w:rPr>
          <w:rFonts w:hint="eastAsia"/>
          <w:color w:val="auto"/>
        </w:rPr>
        <w:t>万元，</w:t>
      </w:r>
      <w:r>
        <w:rPr>
          <w:color w:val="auto"/>
        </w:rPr>
        <w:t>分为</w:t>
      </w:r>
      <w:r>
        <w:rPr>
          <w:rFonts w:hint="eastAsia"/>
          <w:color w:val="auto"/>
        </w:rPr>
        <w:t>农业生产</w:t>
      </w:r>
      <w:r>
        <w:rPr>
          <w:color w:val="auto"/>
        </w:rPr>
        <w:t>、</w:t>
      </w:r>
      <w:r>
        <w:rPr>
          <w:rFonts w:hint="eastAsia"/>
          <w:color w:val="auto"/>
        </w:rPr>
        <w:t>畜牧生产、水利发展、农田建设、农村环境整治、农村道路建设、其他共7</w:t>
      </w:r>
      <w:r>
        <w:rPr>
          <w:color w:val="auto"/>
        </w:rPr>
        <w:t>大项，建设项目如下：</w:t>
      </w:r>
    </w:p>
    <w:p>
      <w:pPr>
        <w:pStyle w:val="318"/>
        <w:numPr>
          <w:ilvl w:val="0"/>
          <w:numId w:val="1"/>
        </w:numPr>
        <w:spacing w:line="600" w:lineRule="exact"/>
        <w:ind w:firstLineChars="0"/>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rPr>
        <w:t>农业生产项目</w:t>
      </w:r>
    </w:p>
    <w:p>
      <w:pPr>
        <w:spacing w:line="600" w:lineRule="exact"/>
        <w:ind w:firstLine="624" w:firstLineChars="200"/>
        <w:rPr>
          <w:color w:val="auto"/>
        </w:rPr>
      </w:pPr>
      <w:r>
        <w:rPr>
          <w:color w:val="auto"/>
        </w:rPr>
        <w:t>①资金安排及建设任务：计划安排资金</w:t>
      </w:r>
      <w:r>
        <w:rPr>
          <w:rFonts w:hint="eastAsia"/>
          <w:color w:val="auto"/>
          <w:lang w:val="en-US" w:eastAsia="zh-CN"/>
        </w:rPr>
        <w:t>3910</w:t>
      </w:r>
      <w:r>
        <w:rPr>
          <w:color w:val="auto"/>
        </w:rPr>
        <w:t>万元，涉及</w:t>
      </w:r>
      <w:r>
        <w:rPr>
          <w:rFonts w:hint="eastAsia"/>
          <w:color w:val="auto"/>
          <w:lang w:eastAsia="zh-CN"/>
        </w:rPr>
        <w:t>全县十二个</w:t>
      </w:r>
      <w:r>
        <w:rPr>
          <w:rFonts w:hint="eastAsia"/>
          <w:color w:val="auto"/>
        </w:rPr>
        <w:t>乡（镇）</w:t>
      </w:r>
      <w:r>
        <w:rPr>
          <w:color w:val="auto"/>
        </w:rPr>
        <w:t>街道</w:t>
      </w:r>
      <w:r>
        <w:rPr>
          <w:rFonts w:hint="eastAsia"/>
          <w:color w:val="auto"/>
        </w:rPr>
        <w:t>共1</w:t>
      </w:r>
      <w:r>
        <w:rPr>
          <w:rFonts w:hint="eastAsia"/>
          <w:color w:val="auto"/>
          <w:lang w:val="en-US" w:eastAsia="zh-CN"/>
        </w:rPr>
        <w:t>5</w:t>
      </w:r>
      <w:r>
        <w:rPr>
          <w:color w:val="auto"/>
        </w:rPr>
        <w:t>个项目，</w:t>
      </w:r>
      <w:r>
        <w:rPr>
          <w:rFonts w:hint="eastAsia"/>
          <w:color w:val="auto"/>
        </w:rPr>
        <w:t>其中用于产业发展的</w:t>
      </w:r>
      <w:r>
        <w:rPr>
          <w:rFonts w:hint="eastAsia"/>
          <w:color w:val="auto"/>
          <w:lang w:val="en-US" w:eastAsia="zh-CN"/>
        </w:rPr>
        <w:t>11</w:t>
      </w:r>
      <w:r>
        <w:rPr>
          <w:rFonts w:hint="eastAsia"/>
          <w:color w:val="auto"/>
        </w:rPr>
        <w:t>个项目，用于基础设施建设的</w:t>
      </w:r>
      <w:r>
        <w:rPr>
          <w:rFonts w:hint="eastAsia"/>
          <w:color w:val="auto"/>
          <w:lang w:val="en-US" w:eastAsia="zh-CN"/>
        </w:rPr>
        <w:t>4</w:t>
      </w:r>
      <w:r>
        <w:rPr>
          <w:rFonts w:hint="eastAsia"/>
          <w:color w:val="auto"/>
        </w:rPr>
        <w:t>个项目。主要用于农业产品种植，以及相关生产线、产品加工基地建设。</w:t>
      </w:r>
    </w:p>
    <w:p>
      <w:pPr>
        <w:spacing w:line="606" w:lineRule="exact"/>
        <w:ind w:firstLine="624" w:firstLineChars="200"/>
        <w:rPr>
          <w:rFonts w:hint="eastAsia" w:eastAsia="方正仿宋_GBK"/>
          <w:color w:val="auto"/>
          <w:lang w:eastAsia="zh-CN"/>
        </w:rPr>
      </w:pPr>
      <w:r>
        <w:rPr>
          <w:color w:val="auto"/>
        </w:rPr>
        <w:t>②责任单位：县农业农村局</w:t>
      </w:r>
      <w:r>
        <w:rPr>
          <w:rFonts w:hint="eastAsia"/>
          <w:color w:val="auto"/>
          <w:lang w:eastAsia="zh-CN"/>
        </w:rPr>
        <w:t>、</w:t>
      </w:r>
      <w:r>
        <w:rPr>
          <w:rFonts w:hint="eastAsia"/>
          <w:color w:val="auto"/>
        </w:rPr>
        <w:t>富源产业投资集团有限公司</w:t>
      </w:r>
      <w:r>
        <w:rPr>
          <w:rFonts w:hint="eastAsia"/>
          <w:color w:val="auto"/>
          <w:lang w:eastAsia="zh-CN"/>
        </w:rPr>
        <w:t>，</w:t>
      </w:r>
      <w:r>
        <w:rPr>
          <w:color w:val="auto"/>
        </w:rPr>
        <w:t>各乡（镇）人民政府、街道办事处</w:t>
      </w:r>
      <w:r>
        <w:rPr>
          <w:rFonts w:hint="eastAsia"/>
          <w:color w:val="auto"/>
          <w:lang w:eastAsia="zh-CN"/>
        </w:rPr>
        <w:t>。</w:t>
      </w:r>
    </w:p>
    <w:p>
      <w:pPr>
        <w:spacing w:line="600" w:lineRule="exact"/>
        <w:ind w:firstLine="624" w:firstLineChars="200"/>
        <w:rPr>
          <w:color w:val="auto"/>
        </w:rPr>
      </w:pPr>
      <w:r>
        <w:rPr>
          <w:color w:val="auto"/>
        </w:rPr>
        <w:t>③时间进度：202</w:t>
      </w:r>
      <w:r>
        <w:rPr>
          <w:rFonts w:hint="eastAsia"/>
          <w:color w:val="auto"/>
        </w:rPr>
        <w:t>3</w:t>
      </w:r>
      <w:r>
        <w:rPr>
          <w:color w:val="auto"/>
        </w:rPr>
        <w:t>年12月底。</w:t>
      </w:r>
    </w:p>
    <w:p>
      <w:pPr>
        <w:spacing w:line="600" w:lineRule="exact"/>
        <w:ind w:firstLine="624" w:firstLineChars="200"/>
        <w:rPr>
          <w:color w:val="auto"/>
        </w:rPr>
      </w:pPr>
      <w:r>
        <w:rPr>
          <w:color w:val="auto"/>
        </w:rPr>
        <w:t>④绩效目标：</w:t>
      </w:r>
      <w:r>
        <w:rPr>
          <w:rFonts w:hint="eastAsia"/>
          <w:color w:val="auto"/>
        </w:rPr>
        <w:t>项目建成后产权归县农业农村局所有，县农业农村局委托富源县产业投资集团有限公司对形成资产负责管理、运营、使用，预计项目年化收益率为5%，带动辖区内脱贫户、三类监测户增加收入。</w:t>
      </w:r>
    </w:p>
    <w:p>
      <w:pPr>
        <w:spacing w:line="600" w:lineRule="exact"/>
        <w:ind w:firstLine="624" w:firstLineChars="200"/>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rPr>
        <w:t>（二）畜牧生产项目</w:t>
      </w:r>
    </w:p>
    <w:p>
      <w:pPr>
        <w:spacing w:line="600" w:lineRule="exact"/>
        <w:ind w:firstLine="624" w:firstLineChars="200"/>
        <w:rPr>
          <w:color w:val="auto"/>
        </w:rPr>
      </w:pPr>
      <w:r>
        <w:rPr>
          <w:color w:val="auto"/>
        </w:rPr>
        <w:t>①资金安排及建设任务：计划安排资金</w:t>
      </w:r>
      <w:r>
        <w:rPr>
          <w:rFonts w:hint="eastAsia"/>
          <w:color w:val="auto"/>
          <w:lang w:val="en-US" w:eastAsia="zh-CN"/>
        </w:rPr>
        <w:t>6600</w:t>
      </w:r>
      <w:r>
        <w:rPr>
          <w:color w:val="auto"/>
        </w:rPr>
        <w:t>万元，涉及</w:t>
      </w:r>
      <w:r>
        <w:rPr>
          <w:rFonts w:hint="eastAsia"/>
          <w:color w:val="auto"/>
          <w:lang w:eastAsia="zh-CN"/>
        </w:rPr>
        <w:t>中安街道、</w:t>
      </w:r>
      <w:r>
        <w:rPr>
          <w:rFonts w:hint="eastAsia"/>
          <w:color w:val="auto"/>
        </w:rPr>
        <w:t>大河镇、墨红镇共</w:t>
      </w:r>
      <w:r>
        <w:rPr>
          <w:rFonts w:hint="eastAsia"/>
          <w:color w:val="auto"/>
          <w:lang w:val="en-US" w:eastAsia="zh-CN"/>
        </w:rPr>
        <w:t>4</w:t>
      </w:r>
      <w:r>
        <w:rPr>
          <w:rFonts w:hint="eastAsia"/>
          <w:color w:val="auto"/>
        </w:rPr>
        <w:t>个项目</w:t>
      </w:r>
      <w:r>
        <w:rPr>
          <w:color w:val="auto"/>
        </w:rPr>
        <w:t>，</w:t>
      </w:r>
      <w:r>
        <w:rPr>
          <w:rFonts w:hint="eastAsia"/>
          <w:color w:val="auto"/>
        </w:rPr>
        <w:t>主要用于大河乌猪全产业链体系建设项目和墨红镇摩山鸡绿色食品基地建设项目。</w:t>
      </w:r>
    </w:p>
    <w:p>
      <w:pPr>
        <w:spacing w:line="606" w:lineRule="exact"/>
        <w:ind w:firstLine="624" w:firstLineChars="200"/>
        <w:rPr>
          <w:rFonts w:hint="eastAsia" w:eastAsia="方正仿宋_GBK"/>
          <w:color w:val="auto"/>
          <w:lang w:eastAsia="zh-CN"/>
        </w:rPr>
      </w:pPr>
      <w:r>
        <w:rPr>
          <w:color w:val="auto"/>
        </w:rPr>
        <w:t>②责任单位：县农业农村局</w:t>
      </w:r>
      <w:r>
        <w:rPr>
          <w:rFonts w:hint="eastAsia"/>
          <w:color w:val="auto"/>
          <w:lang w:eastAsia="zh-CN"/>
        </w:rPr>
        <w:t>、</w:t>
      </w:r>
      <w:r>
        <w:rPr>
          <w:rFonts w:hint="eastAsia"/>
          <w:color w:val="auto"/>
        </w:rPr>
        <w:t>富源产业投资集团有限公司</w:t>
      </w:r>
      <w:r>
        <w:rPr>
          <w:rFonts w:hint="eastAsia"/>
          <w:color w:val="auto"/>
          <w:lang w:eastAsia="zh-CN"/>
        </w:rPr>
        <w:t>，</w:t>
      </w:r>
      <w:r>
        <w:rPr>
          <w:color w:val="auto"/>
        </w:rPr>
        <w:t>各乡（镇）人民政府、街道办事处。</w:t>
      </w:r>
    </w:p>
    <w:p>
      <w:pPr>
        <w:spacing w:line="600" w:lineRule="exact"/>
        <w:ind w:firstLine="624" w:firstLineChars="200"/>
        <w:rPr>
          <w:color w:val="auto"/>
        </w:rPr>
      </w:pPr>
      <w:r>
        <w:rPr>
          <w:color w:val="auto"/>
        </w:rPr>
        <w:t>③时间进度：202</w:t>
      </w:r>
      <w:r>
        <w:rPr>
          <w:rFonts w:hint="eastAsia"/>
          <w:color w:val="auto"/>
        </w:rPr>
        <w:t>3</w:t>
      </w:r>
      <w:r>
        <w:rPr>
          <w:color w:val="auto"/>
        </w:rPr>
        <w:t>年12月底完成。</w:t>
      </w:r>
    </w:p>
    <w:p>
      <w:pPr>
        <w:spacing w:line="600" w:lineRule="exact"/>
        <w:ind w:firstLine="624" w:firstLineChars="200"/>
        <w:rPr>
          <w:color w:val="auto"/>
        </w:rPr>
      </w:pPr>
      <w:r>
        <w:rPr>
          <w:rFonts w:hint="eastAsia" w:ascii="宋体" w:hAnsi="宋体" w:eastAsia="宋体" w:cs="宋体"/>
          <w:color w:val="auto"/>
        </w:rPr>
        <w:t>④</w:t>
      </w:r>
      <w:r>
        <w:rPr>
          <w:color w:val="auto"/>
        </w:rPr>
        <w:t>绩效目标：</w:t>
      </w:r>
      <w:r>
        <w:rPr>
          <w:rFonts w:hint="eastAsia"/>
          <w:color w:val="auto"/>
        </w:rPr>
        <w:t>项目建成后产权归县农业农村局所有，县农业农村局委托富源县产业投资集团有限公司对形成资产负责管理、运营、使用，预计项目年化收益率为5%，带动辖区内脱贫户、三类监测户增加收入。</w:t>
      </w:r>
    </w:p>
    <w:p>
      <w:pPr>
        <w:spacing w:line="600" w:lineRule="exact"/>
        <w:ind w:firstLine="624" w:firstLineChars="200"/>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rPr>
        <w:t>（三）水利发展项目</w:t>
      </w:r>
    </w:p>
    <w:p>
      <w:pPr>
        <w:spacing w:line="606" w:lineRule="exact"/>
        <w:ind w:firstLine="624" w:firstLineChars="200"/>
        <w:rPr>
          <w:color w:val="auto"/>
        </w:rPr>
      </w:pPr>
      <w:r>
        <w:rPr>
          <w:color w:val="auto"/>
        </w:rPr>
        <w:t>（1）资金安排及建设任务：计划安排资金</w:t>
      </w:r>
      <w:r>
        <w:rPr>
          <w:rFonts w:hint="eastAsia"/>
          <w:color w:val="auto"/>
          <w:lang w:val="en-US" w:eastAsia="zh-CN"/>
        </w:rPr>
        <w:t>1218</w:t>
      </w:r>
      <w:r>
        <w:rPr>
          <w:rFonts w:hint="eastAsia"/>
          <w:color w:val="auto"/>
        </w:rPr>
        <w:t>.4</w:t>
      </w:r>
      <w:r>
        <w:rPr>
          <w:color w:val="auto"/>
        </w:rPr>
        <w:t>万元，共涉及全县12个乡（镇）、街道</w:t>
      </w:r>
      <w:r>
        <w:rPr>
          <w:rFonts w:hint="eastAsia"/>
          <w:color w:val="auto"/>
        </w:rPr>
        <w:t>。安装水利工程在线监测计量系统5处，新增农业水价综合改革面积3.91万亩，维修农村饮水安全工程155处，小型水库维修36座，山洪灾害防治非工程措施维修养护1个县</w:t>
      </w:r>
      <w:r>
        <w:rPr>
          <w:rFonts w:hint="eastAsia"/>
          <w:color w:val="auto"/>
          <w:lang w:eastAsia="zh-CN"/>
        </w:rPr>
        <w:t>，农村供水保障设施建设</w:t>
      </w:r>
      <w:r>
        <w:rPr>
          <w:rFonts w:hint="eastAsia"/>
          <w:color w:val="auto"/>
          <w:lang w:val="en-US" w:eastAsia="zh-CN"/>
        </w:rPr>
        <w:t>47处</w:t>
      </w:r>
      <w:r>
        <w:rPr>
          <w:rFonts w:hint="eastAsia"/>
          <w:color w:val="auto"/>
        </w:rPr>
        <w:t>。</w:t>
      </w:r>
    </w:p>
    <w:p>
      <w:pPr>
        <w:spacing w:line="606" w:lineRule="exact"/>
        <w:ind w:firstLine="624" w:firstLineChars="200"/>
        <w:rPr>
          <w:color w:val="auto"/>
        </w:rPr>
      </w:pPr>
      <w:r>
        <w:rPr>
          <w:color w:val="auto"/>
        </w:rPr>
        <w:t>（2）责任单位：县水务局，各乡（镇）人民政府、街道办事处。</w:t>
      </w:r>
    </w:p>
    <w:p>
      <w:pPr>
        <w:spacing w:line="606" w:lineRule="exact"/>
        <w:ind w:firstLine="624" w:firstLineChars="200"/>
        <w:rPr>
          <w:color w:val="auto"/>
        </w:rPr>
      </w:pPr>
      <w:r>
        <w:rPr>
          <w:color w:val="auto"/>
        </w:rPr>
        <w:t>（3）时间进度：202</w:t>
      </w:r>
      <w:r>
        <w:rPr>
          <w:rFonts w:hint="eastAsia"/>
          <w:color w:val="auto"/>
        </w:rPr>
        <w:t>3</w:t>
      </w:r>
      <w:r>
        <w:rPr>
          <w:color w:val="auto"/>
        </w:rPr>
        <w:t>年12月底完成。</w:t>
      </w:r>
    </w:p>
    <w:p>
      <w:pPr>
        <w:spacing w:line="606" w:lineRule="exact"/>
        <w:ind w:firstLine="624" w:firstLineChars="200"/>
        <w:rPr>
          <w:color w:val="auto"/>
        </w:rPr>
      </w:pPr>
      <w:r>
        <w:rPr>
          <w:color w:val="auto"/>
        </w:rPr>
        <w:t>（4）绩效目标：</w:t>
      </w:r>
      <w:r>
        <w:rPr>
          <w:rFonts w:hint="eastAsia"/>
          <w:color w:val="auto"/>
        </w:rPr>
        <w:t>安装水利工程在线监测计量系统5处，提高取水量在线计量率提高3%；新增农业水价综合改革面积3.91万亩，维修农村饮水安全工程154处，受益人口25万人；小型水库维修36座，防洪保护受益人口4.3万人以上；山洪灾害防治演练3场，新建自动雨量站4个、简易雨量站9个，更新改造预警平台1个</w:t>
      </w:r>
      <w:r>
        <w:rPr>
          <w:rFonts w:hint="eastAsia"/>
          <w:color w:val="auto"/>
          <w:lang w:eastAsia="zh-CN"/>
        </w:rPr>
        <w:t>，农村供水保障设施建设</w:t>
      </w:r>
      <w:r>
        <w:rPr>
          <w:rFonts w:hint="eastAsia"/>
          <w:color w:val="auto"/>
          <w:lang w:val="en-US" w:eastAsia="zh-CN"/>
        </w:rPr>
        <w:t>47处</w:t>
      </w:r>
      <w:r>
        <w:rPr>
          <w:rFonts w:hint="eastAsia"/>
          <w:color w:val="auto"/>
        </w:rPr>
        <w:t>。</w:t>
      </w:r>
    </w:p>
    <w:p>
      <w:pPr>
        <w:spacing w:line="606" w:lineRule="exact"/>
        <w:ind w:firstLine="624" w:firstLineChars="200"/>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rPr>
        <w:t>（四）农田建设项目</w:t>
      </w:r>
    </w:p>
    <w:p>
      <w:pPr>
        <w:spacing w:line="606" w:lineRule="exact"/>
        <w:ind w:firstLine="624" w:firstLineChars="200"/>
        <w:rPr>
          <w:rFonts w:hint="eastAsia" w:eastAsia="方正仿宋_GBK"/>
          <w:color w:val="auto"/>
          <w:lang w:eastAsia="zh-CN"/>
        </w:rPr>
      </w:pPr>
      <w:r>
        <w:rPr>
          <w:color w:val="auto"/>
        </w:rPr>
        <w:t>（1）资金安排及建设任务：计划安排资金</w:t>
      </w:r>
      <w:r>
        <w:rPr>
          <w:rFonts w:hint="eastAsia"/>
          <w:color w:val="auto"/>
        </w:rPr>
        <w:t>1178</w:t>
      </w:r>
      <w:r>
        <w:rPr>
          <w:color w:val="auto"/>
        </w:rPr>
        <w:t>万元，用于</w:t>
      </w:r>
      <w:r>
        <w:rPr>
          <w:rFonts w:hint="eastAsia"/>
          <w:color w:val="auto"/>
        </w:rPr>
        <w:t>富源</w:t>
      </w:r>
      <w:r>
        <w:rPr>
          <w:color w:val="auto"/>
        </w:rPr>
        <w:t>县</w:t>
      </w:r>
      <w:r>
        <w:rPr>
          <w:rFonts w:hint="eastAsia"/>
          <w:color w:val="auto"/>
        </w:rPr>
        <w:t>竹园</w:t>
      </w:r>
      <w:r>
        <w:rPr>
          <w:color w:val="auto"/>
        </w:rPr>
        <w:t>镇实施</w:t>
      </w:r>
      <w:r>
        <w:rPr>
          <w:rFonts w:hint="eastAsia"/>
          <w:color w:val="auto"/>
        </w:rPr>
        <w:t>8000</w:t>
      </w:r>
      <w:r>
        <w:rPr>
          <w:color w:val="auto"/>
        </w:rPr>
        <w:t>亩高标准农田建设</w:t>
      </w:r>
      <w:r>
        <w:rPr>
          <w:rFonts w:hint="eastAsia"/>
          <w:color w:val="auto"/>
          <w:lang w:eastAsia="zh-CN"/>
        </w:rPr>
        <w:t>。</w:t>
      </w:r>
    </w:p>
    <w:p>
      <w:pPr>
        <w:spacing w:line="600" w:lineRule="exact"/>
        <w:ind w:firstLine="624" w:firstLineChars="200"/>
        <w:rPr>
          <w:rFonts w:hint="eastAsia" w:eastAsia="方正仿宋_GBK"/>
          <w:color w:val="auto"/>
          <w:lang w:eastAsia="zh-CN"/>
        </w:rPr>
      </w:pPr>
      <w:r>
        <w:rPr>
          <w:color w:val="auto"/>
        </w:rPr>
        <w:t>（2）责任单位：县农业农村局</w:t>
      </w:r>
      <w:r>
        <w:rPr>
          <w:rFonts w:hint="eastAsia"/>
          <w:color w:val="auto"/>
        </w:rPr>
        <w:t>、竹园镇</w:t>
      </w:r>
      <w:r>
        <w:rPr>
          <w:color w:val="auto"/>
        </w:rPr>
        <w:t>人民政府</w:t>
      </w:r>
      <w:r>
        <w:rPr>
          <w:rFonts w:hint="eastAsia"/>
          <w:color w:val="auto"/>
          <w:lang w:eastAsia="zh-CN"/>
        </w:rPr>
        <w:t>。</w:t>
      </w:r>
    </w:p>
    <w:p>
      <w:pPr>
        <w:spacing w:line="600" w:lineRule="exact"/>
        <w:ind w:firstLine="624" w:firstLineChars="200"/>
        <w:rPr>
          <w:color w:val="auto"/>
        </w:rPr>
      </w:pPr>
      <w:r>
        <w:rPr>
          <w:color w:val="auto"/>
        </w:rPr>
        <w:t>（3）时间进度：202</w:t>
      </w:r>
      <w:r>
        <w:rPr>
          <w:rFonts w:hint="eastAsia"/>
          <w:color w:val="auto"/>
        </w:rPr>
        <w:t>3</w:t>
      </w:r>
      <w:r>
        <w:rPr>
          <w:color w:val="auto"/>
        </w:rPr>
        <w:t>年</w:t>
      </w:r>
      <w:r>
        <w:rPr>
          <w:rFonts w:hint="eastAsia"/>
          <w:color w:val="auto"/>
        </w:rPr>
        <w:t>12</w:t>
      </w:r>
      <w:r>
        <w:rPr>
          <w:color w:val="auto"/>
        </w:rPr>
        <w:t>月底完成。</w:t>
      </w:r>
    </w:p>
    <w:p>
      <w:pPr>
        <w:spacing w:line="600" w:lineRule="exact"/>
        <w:ind w:firstLine="624" w:firstLineChars="200"/>
        <w:rPr>
          <w:color w:val="auto"/>
        </w:rPr>
      </w:pPr>
      <w:r>
        <w:rPr>
          <w:color w:val="auto"/>
        </w:rPr>
        <w:t>（4）绩效目标：</w:t>
      </w:r>
      <w:r>
        <w:rPr>
          <w:rFonts w:hint="eastAsia"/>
          <w:color w:val="auto"/>
        </w:rPr>
        <w:t>建成高标准农田8000亩，新增节水灌溉面积0.19万亩，灌溉水利用率提高40％；增加机耕面积0.61万亩，农业综合机械化提高值51％，道路通达率92％，新增粮食产量48万公斤；项目区年直接受益农户4064户，直接受益农业人口数13848人，直接受益农民年纯收入增加总额173.96万元；扩大良种种植面积0.6万亩。</w:t>
      </w:r>
    </w:p>
    <w:p>
      <w:pPr>
        <w:spacing w:line="600" w:lineRule="exact"/>
        <w:ind w:firstLine="624" w:firstLineChars="200"/>
        <w:rPr>
          <w:rFonts w:hint="eastAsia" w:eastAsia="方正楷体_GBK"/>
          <w:color w:val="auto"/>
        </w:rPr>
      </w:pPr>
      <w:r>
        <w:rPr>
          <w:rFonts w:eastAsia="方正楷体_GBK"/>
          <w:color w:val="auto"/>
        </w:rPr>
        <w:t>（</w:t>
      </w:r>
      <w:r>
        <w:rPr>
          <w:rFonts w:hint="eastAsia" w:eastAsia="方正楷体_GBK"/>
          <w:color w:val="auto"/>
        </w:rPr>
        <w:t>五</w:t>
      </w:r>
      <w:r>
        <w:rPr>
          <w:rFonts w:eastAsia="方正楷体_GBK"/>
          <w:color w:val="auto"/>
        </w:rPr>
        <w:t>）</w:t>
      </w:r>
      <w:r>
        <w:rPr>
          <w:rFonts w:hint="eastAsia" w:eastAsia="方正楷体_GBK"/>
          <w:color w:val="auto"/>
        </w:rPr>
        <w:t>农村环境整治</w:t>
      </w:r>
    </w:p>
    <w:p>
      <w:pPr>
        <w:spacing w:line="600" w:lineRule="exact"/>
        <w:ind w:firstLine="624" w:firstLineChars="200"/>
        <w:rPr>
          <w:rFonts w:hint="eastAsia" w:ascii="Times New Roman" w:hAnsi="Times New Roman" w:eastAsia="方正仿宋_GBK" w:cs="Times New Roman"/>
          <w:color w:val="auto"/>
          <w:kern w:val="2"/>
          <w:sz w:val="32"/>
          <w:szCs w:val="22"/>
          <w:lang w:val="en-US" w:eastAsia="zh-CN" w:bidi="ar-SA"/>
        </w:rPr>
      </w:pPr>
      <w:r>
        <w:rPr>
          <w:rFonts w:hint="eastAsia" w:ascii="Times New Roman" w:hAnsi="Times New Roman" w:eastAsia="方正仿宋_GBK" w:cs="Times New Roman"/>
          <w:color w:val="auto"/>
          <w:kern w:val="2"/>
          <w:sz w:val="32"/>
          <w:szCs w:val="22"/>
          <w:lang w:val="en-US" w:eastAsia="zh-CN" w:bidi="ar-SA"/>
        </w:rPr>
        <w:t>1．乡村振兴“百千万”示范工程建设项目</w:t>
      </w:r>
    </w:p>
    <w:p>
      <w:pPr>
        <w:spacing w:line="600" w:lineRule="exact"/>
        <w:ind w:firstLine="624" w:firstLineChars="200"/>
        <w:rPr>
          <w:color w:val="auto"/>
        </w:rPr>
      </w:pPr>
      <w:r>
        <w:rPr>
          <w:rFonts w:hint="eastAsia" w:ascii="Times New Roman" w:hAnsi="Times New Roman" w:eastAsia="方正仿宋_GBK" w:cs="Times New Roman"/>
          <w:color w:val="auto"/>
          <w:kern w:val="2"/>
          <w:sz w:val="32"/>
          <w:szCs w:val="22"/>
          <w:lang w:val="en-US" w:eastAsia="zh-CN" w:bidi="ar-SA"/>
        </w:rPr>
        <w:t>（1）资金安排及建设任务：计划安排资</w:t>
      </w:r>
      <w:r>
        <w:rPr>
          <w:color w:val="auto"/>
        </w:rPr>
        <w:t>金</w:t>
      </w:r>
      <w:r>
        <w:rPr>
          <w:rFonts w:hint="eastAsia"/>
          <w:color w:val="auto"/>
        </w:rPr>
        <w:t>2150</w:t>
      </w:r>
      <w:r>
        <w:rPr>
          <w:color w:val="auto"/>
        </w:rPr>
        <w:t>万元，用于</w:t>
      </w:r>
      <w:r>
        <w:rPr>
          <w:rFonts w:hint="eastAsia"/>
          <w:color w:val="auto"/>
        </w:rPr>
        <w:t>中安街道、胜境街道、后所镇、大河镇、营上镇等乡镇</w:t>
      </w:r>
      <w:r>
        <w:rPr>
          <w:rFonts w:hint="eastAsia"/>
          <w:color w:val="auto"/>
          <w:lang w:eastAsia="zh-CN"/>
        </w:rPr>
        <w:t>（</w:t>
      </w:r>
      <w:r>
        <w:rPr>
          <w:rFonts w:hint="eastAsia"/>
          <w:color w:val="auto"/>
        </w:rPr>
        <w:t>街道</w:t>
      </w:r>
      <w:r>
        <w:rPr>
          <w:rFonts w:hint="eastAsia"/>
          <w:color w:val="auto"/>
          <w:lang w:eastAsia="zh-CN"/>
        </w:rPr>
        <w:t>）</w:t>
      </w:r>
      <w:r>
        <w:rPr>
          <w:rFonts w:hint="eastAsia"/>
          <w:color w:val="auto"/>
        </w:rPr>
        <w:t>乡村振兴“百千万”示范工程建设项目。</w:t>
      </w:r>
    </w:p>
    <w:p>
      <w:pPr>
        <w:spacing w:line="600" w:lineRule="exact"/>
        <w:ind w:firstLine="624" w:firstLineChars="200"/>
        <w:rPr>
          <w:rFonts w:hint="eastAsia" w:eastAsia="方正仿宋_GBK"/>
          <w:color w:val="auto"/>
          <w:lang w:eastAsia="zh-CN"/>
        </w:rPr>
      </w:pPr>
      <w:r>
        <w:rPr>
          <w:color w:val="auto"/>
        </w:rPr>
        <w:t>（2）责任单位：</w:t>
      </w:r>
      <w:r>
        <w:rPr>
          <w:rFonts w:hint="eastAsia"/>
          <w:color w:val="auto"/>
        </w:rPr>
        <w:t>县乡村振兴局</w:t>
      </w:r>
      <w:r>
        <w:rPr>
          <w:color w:val="auto"/>
        </w:rPr>
        <w:t>、</w:t>
      </w:r>
      <w:r>
        <w:rPr>
          <w:rFonts w:hint="eastAsia"/>
          <w:color w:val="auto"/>
        </w:rPr>
        <w:t>相关街道办事处、乡镇人民政府</w:t>
      </w:r>
      <w:r>
        <w:rPr>
          <w:rFonts w:hint="eastAsia"/>
          <w:color w:val="auto"/>
          <w:lang w:eastAsia="zh-CN"/>
        </w:rPr>
        <w:t>。</w:t>
      </w:r>
    </w:p>
    <w:p>
      <w:pPr>
        <w:spacing w:line="600" w:lineRule="exact"/>
        <w:ind w:firstLine="624" w:firstLineChars="200"/>
        <w:rPr>
          <w:color w:val="auto"/>
        </w:rPr>
      </w:pPr>
      <w:r>
        <w:rPr>
          <w:color w:val="auto"/>
        </w:rPr>
        <w:t>（3）时间进度：202</w:t>
      </w:r>
      <w:r>
        <w:rPr>
          <w:rFonts w:hint="eastAsia"/>
          <w:color w:val="auto"/>
        </w:rPr>
        <w:t>3</w:t>
      </w:r>
      <w:r>
        <w:rPr>
          <w:color w:val="auto"/>
        </w:rPr>
        <w:t>年12月底完成。</w:t>
      </w:r>
    </w:p>
    <w:p>
      <w:pPr>
        <w:spacing w:line="600" w:lineRule="exact"/>
        <w:ind w:firstLine="624" w:firstLineChars="200"/>
        <w:rPr>
          <w:rFonts w:hint="eastAsia"/>
          <w:color w:val="auto"/>
        </w:rPr>
      </w:pPr>
      <w:r>
        <w:rPr>
          <w:color w:val="auto"/>
        </w:rPr>
        <w:t>（4）绩效目标：项目覆盖</w:t>
      </w:r>
      <w:r>
        <w:rPr>
          <w:rFonts w:hint="eastAsia"/>
          <w:color w:val="auto"/>
        </w:rPr>
        <w:t>全县5</w:t>
      </w:r>
      <w:r>
        <w:rPr>
          <w:color w:val="auto"/>
        </w:rPr>
        <w:t>个乡</w:t>
      </w:r>
      <w:r>
        <w:rPr>
          <w:rFonts w:hint="eastAsia"/>
          <w:color w:val="auto"/>
        </w:rPr>
        <w:t>（</w:t>
      </w:r>
      <w:r>
        <w:rPr>
          <w:color w:val="auto"/>
        </w:rPr>
        <w:t>镇</w:t>
      </w:r>
      <w:r>
        <w:rPr>
          <w:rFonts w:hint="eastAsia"/>
          <w:color w:val="auto"/>
        </w:rPr>
        <w:t>）街道，通过乡村振兴“百千万”示范工程建设，村庄基础设施服务功能进一步完善，村庄环境卫生进一步改善，群众生产生活水平明显提高。</w:t>
      </w:r>
    </w:p>
    <w:p>
      <w:pPr>
        <w:spacing w:line="600" w:lineRule="exact"/>
        <w:ind w:firstLine="624" w:firstLineChars="200"/>
        <w:rPr>
          <w:rFonts w:hint="eastAsia" w:ascii="Times New Roman" w:hAnsi="Times New Roman" w:eastAsia="方正仿宋_GBK" w:cs="Times New Roman"/>
          <w:color w:val="auto"/>
          <w:kern w:val="2"/>
          <w:sz w:val="32"/>
          <w:szCs w:val="22"/>
          <w:lang w:val="en-US" w:eastAsia="zh-CN" w:bidi="ar-SA"/>
        </w:rPr>
      </w:pPr>
      <w:r>
        <w:rPr>
          <w:rFonts w:hint="eastAsia" w:cs="Times New Roman"/>
          <w:color w:val="auto"/>
          <w:kern w:val="2"/>
          <w:sz w:val="32"/>
          <w:szCs w:val="22"/>
          <w:lang w:val="en-US" w:eastAsia="zh-CN" w:bidi="ar-SA"/>
        </w:rPr>
        <w:t>2</w:t>
      </w:r>
      <w:r>
        <w:rPr>
          <w:rFonts w:hint="eastAsia" w:ascii="Times New Roman" w:hAnsi="Times New Roman" w:eastAsia="方正仿宋_GBK" w:cs="Times New Roman"/>
          <w:color w:val="auto"/>
          <w:kern w:val="2"/>
          <w:sz w:val="32"/>
          <w:szCs w:val="22"/>
          <w:lang w:val="en-US" w:eastAsia="zh-CN" w:bidi="ar-SA"/>
        </w:rPr>
        <w:t>．农村人居环境整治项目</w:t>
      </w:r>
    </w:p>
    <w:p>
      <w:pPr>
        <w:spacing w:line="600" w:lineRule="exact"/>
        <w:ind w:firstLine="624" w:firstLineChars="200"/>
        <w:rPr>
          <w:color w:val="auto"/>
        </w:rPr>
      </w:pPr>
      <w:r>
        <w:rPr>
          <w:rFonts w:hint="eastAsia" w:ascii="Times New Roman" w:hAnsi="Times New Roman" w:eastAsia="方正仿宋_GBK" w:cs="Times New Roman"/>
          <w:color w:val="auto"/>
          <w:kern w:val="2"/>
          <w:sz w:val="32"/>
          <w:szCs w:val="22"/>
          <w:lang w:val="en-US" w:eastAsia="zh-CN" w:bidi="ar-SA"/>
        </w:rPr>
        <w:t>（1）资金安排及建设任务：计划安排资</w:t>
      </w:r>
      <w:r>
        <w:rPr>
          <w:color w:val="auto"/>
        </w:rPr>
        <w:t>金</w:t>
      </w:r>
      <w:r>
        <w:rPr>
          <w:rFonts w:hint="eastAsia"/>
          <w:color w:val="auto"/>
          <w:lang w:val="en-US" w:eastAsia="zh-CN"/>
        </w:rPr>
        <w:t>500</w:t>
      </w:r>
      <w:r>
        <w:rPr>
          <w:color w:val="auto"/>
        </w:rPr>
        <w:t>万元，用于</w:t>
      </w:r>
      <w:r>
        <w:rPr>
          <w:rFonts w:hint="eastAsia"/>
          <w:color w:val="auto"/>
          <w:lang w:eastAsia="zh-CN"/>
        </w:rPr>
        <w:t>墨红、营上、竹园、富村、黄泥河、古敢、十八连山、老厂等</w:t>
      </w:r>
      <w:r>
        <w:rPr>
          <w:rFonts w:hint="eastAsia"/>
          <w:color w:val="auto"/>
        </w:rPr>
        <w:t>乡</w:t>
      </w:r>
      <w:r>
        <w:rPr>
          <w:rFonts w:hint="eastAsia"/>
          <w:color w:val="auto"/>
          <w:lang w:eastAsia="zh-CN"/>
        </w:rPr>
        <w:t>镇农村人居环境整治</w:t>
      </w:r>
      <w:r>
        <w:rPr>
          <w:rFonts w:hint="eastAsia"/>
          <w:color w:val="auto"/>
        </w:rPr>
        <w:t>项目。</w:t>
      </w:r>
    </w:p>
    <w:p>
      <w:pPr>
        <w:spacing w:line="600" w:lineRule="exact"/>
        <w:ind w:firstLine="624" w:firstLineChars="200"/>
        <w:rPr>
          <w:rFonts w:hint="eastAsia" w:eastAsia="方正仿宋_GBK"/>
          <w:color w:val="auto"/>
          <w:lang w:eastAsia="zh-CN"/>
        </w:rPr>
      </w:pPr>
      <w:r>
        <w:rPr>
          <w:color w:val="auto"/>
        </w:rPr>
        <w:t>（2）责任单位：</w:t>
      </w:r>
      <w:r>
        <w:rPr>
          <w:rFonts w:hint="eastAsia"/>
          <w:color w:val="auto"/>
        </w:rPr>
        <w:t>县</w:t>
      </w:r>
      <w:r>
        <w:rPr>
          <w:rFonts w:hint="eastAsia"/>
          <w:color w:val="auto"/>
          <w:lang w:eastAsia="zh-CN"/>
        </w:rPr>
        <w:t>农业农村</w:t>
      </w:r>
      <w:r>
        <w:rPr>
          <w:rFonts w:hint="eastAsia"/>
          <w:color w:val="auto"/>
        </w:rPr>
        <w:t>局</w:t>
      </w:r>
      <w:r>
        <w:rPr>
          <w:color w:val="auto"/>
        </w:rPr>
        <w:t>、</w:t>
      </w:r>
      <w:r>
        <w:rPr>
          <w:rFonts w:hint="eastAsia"/>
          <w:color w:val="auto"/>
        </w:rPr>
        <w:t>相关乡</w:t>
      </w:r>
      <w:r>
        <w:rPr>
          <w:rFonts w:hint="eastAsia"/>
          <w:color w:val="auto"/>
          <w:lang w:eastAsia="zh-CN"/>
        </w:rPr>
        <w:t>（</w:t>
      </w:r>
      <w:r>
        <w:rPr>
          <w:rFonts w:hint="eastAsia"/>
          <w:color w:val="auto"/>
        </w:rPr>
        <w:t>镇</w:t>
      </w:r>
      <w:r>
        <w:rPr>
          <w:rFonts w:hint="eastAsia"/>
          <w:color w:val="auto"/>
          <w:lang w:eastAsia="zh-CN"/>
        </w:rPr>
        <w:t>）</w:t>
      </w:r>
      <w:r>
        <w:rPr>
          <w:rFonts w:hint="eastAsia"/>
          <w:color w:val="auto"/>
        </w:rPr>
        <w:t>人民政府</w:t>
      </w:r>
      <w:r>
        <w:rPr>
          <w:rFonts w:hint="eastAsia"/>
          <w:color w:val="auto"/>
          <w:lang w:eastAsia="zh-CN"/>
        </w:rPr>
        <w:t>。</w:t>
      </w:r>
    </w:p>
    <w:p>
      <w:pPr>
        <w:spacing w:line="600" w:lineRule="exact"/>
        <w:ind w:firstLine="624" w:firstLineChars="200"/>
        <w:rPr>
          <w:color w:val="auto"/>
        </w:rPr>
      </w:pPr>
      <w:r>
        <w:rPr>
          <w:color w:val="auto"/>
        </w:rPr>
        <w:t>（3）时间进度：202</w:t>
      </w:r>
      <w:r>
        <w:rPr>
          <w:rFonts w:hint="eastAsia"/>
          <w:color w:val="auto"/>
        </w:rPr>
        <w:t>3</w:t>
      </w:r>
      <w:r>
        <w:rPr>
          <w:color w:val="auto"/>
        </w:rPr>
        <w:t>年12月底完成。</w:t>
      </w:r>
    </w:p>
    <w:p>
      <w:pPr>
        <w:spacing w:line="600" w:lineRule="exact"/>
        <w:ind w:firstLine="624" w:firstLineChars="200"/>
        <w:rPr>
          <w:rFonts w:hint="eastAsia"/>
          <w:color w:val="auto"/>
        </w:rPr>
      </w:pPr>
      <w:r>
        <w:rPr>
          <w:color w:val="auto"/>
        </w:rPr>
        <w:t>（4）绩效目标：项目覆盖</w:t>
      </w:r>
      <w:r>
        <w:rPr>
          <w:rFonts w:hint="eastAsia"/>
          <w:color w:val="auto"/>
        </w:rPr>
        <w:t>全县</w:t>
      </w:r>
      <w:r>
        <w:rPr>
          <w:rFonts w:hint="eastAsia"/>
          <w:color w:val="auto"/>
          <w:lang w:val="en-US" w:eastAsia="zh-CN"/>
        </w:rPr>
        <w:t>8</w:t>
      </w:r>
      <w:r>
        <w:rPr>
          <w:color w:val="auto"/>
        </w:rPr>
        <w:t>个乡</w:t>
      </w:r>
      <w:r>
        <w:rPr>
          <w:rFonts w:hint="eastAsia"/>
          <w:color w:val="auto"/>
        </w:rPr>
        <w:t>（</w:t>
      </w:r>
      <w:r>
        <w:rPr>
          <w:color w:val="auto"/>
        </w:rPr>
        <w:t>镇</w:t>
      </w:r>
      <w:r>
        <w:rPr>
          <w:rFonts w:hint="eastAsia"/>
          <w:color w:val="auto"/>
        </w:rPr>
        <w:t>），</w:t>
      </w:r>
      <w:r>
        <w:rPr>
          <w:rFonts w:hint="eastAsia"/>
          <w:color w:val="auto"/>
          <w:lang w:eastAsia="zh-CN"/>
        </w:rPr>
        <w:t>共</w:t>
      </w:r>
      <w:r>
        <w:rPr>
          <w:rFonts w:hint="eastAsia"/>
          <w:color w:val="auto"/>
          <w:lang w:val="en-US" w:eastAsia="zh-CN"/>
        </w:rPr>
        <w:t>9个项目，</w:t>
      </w:r>
      <w:r>
        <w:rPr>
          <w:rFonts w:hint="eastAsia"/>
          <w:color w:val="auto"/>
        </w:rPr>
        <w:t>项目建成后，村庄基础设施服务功能进一步完善，村庄环境卫生进一步改善，群众生产生活水平明显提高。受益村</w:t>
      </w:r>
      <w:r>
        <w:rPr>
          <w:rFonts w:hint="eastAsia"/>
          <w:color w:val="auto"/>
          <w:lang w:val="en-US" w:eastAsia="zh-CN"/>
        </w:rPr>
        <w:t>9</w:t>
      </w:r>
      <w:r>
        <w:rPr>
          <w:rFonts w:hint="eastAsia"/>
          <w:color w:val="auto"/>
        </w:rPr>
        <w:t xml:space="preserve"> 个</w:t>
      </w:r>
      <w:r>
        <w:rPr>
          <w:rFonts w:hint="eastAsia"/>
          <w:color w:val="auto"/>
          <w:lang w:eastAsia="zh-CN"/>
        </w:rPr>
        <w:t>，</w:t>
      </w:r>
      <w:r>
        <w:rPr>
          <w:rFonts w:hint="eastAsia"/>
          <w:color w:val="auto"/>
        </w:rPr>
        <w:t>其中：</w:t>
      </w:r>
      <w:r>
        <w:rPr>
          <w:rFonts w:hint="eastAsia"/>
          <w:color w:val="auto"/>
          <w:lang w:eastAsia="zh-CN"/>
        </w:rPr>
        <w:t>受益</w:t>
      </w:r>
      <w:r>
        <w:rPr>
          <w:rFonts w:hint="eastAsia"/>
          <w:color w:val="auto"/>
        </w:rPr>
        <w:t>脱贫户、监测对象户</w:t>
      </w:r>
      <w:r>
        <w:rPr>
          <w:rFonts w:hint="eastAsia"/>
          <w:color w:val="auto"/>
          <w:lang w:val="en-US" w:eastAsia="zh-CN"/>
        </w:rPr>
        <w:t>179</w:t>
      </w:r>
      <w:r>
        <w:rPr>
          <w:rFonts w:hint="eastAsia"/>
          <w:color w:val="auto"/>
        </w:rPr>
        <w:t xml:space="preserve"> 户</w:t>
      </w:r>
      <w:r>
        <w:rPr>
          <w:rFonts w:hint="eastAsia"/>
          <w:color w:val="auto"/>
          <w:lang w:val="en-US" w:eastAsia="zh-CN"/>
        </w:rPr>
        <w:t>804</w:t>
      </w:r>
      <w:r>
        <w:rPr>
          <w:rFonts w:hint="eastAsia"/>
          <w:color w:val="auto"/>
        </w:rPr>
        <w:t>人。</w:t>
      </w:r>
    </w:p>
    <w:p>
      <w:pPr>
        <w:spacing w:line="600" w:lineRule="exact"/>
        <w:ind w:firstLine="624" w:firstLineChars="200"/>
        <w:rPr>
          <w:rFonts w:hint="eastAsia" w:ascii="Times New Roman" w:hAnsi="Times New Roman" w:eastAsia="方正仿宋_GBK" w:cs="Times New Roman"/>
          <w:color w:val="auto"/>
          <w:kern w:val="2"/>
          <w:sz w:val="32"/>
          <w:szCs w:val="22"/>
          <w:lang w:val="en-US" w:eastAsia="zh-CN" w:bidi="ar-SA"/>
        </w:rPr>
      </w:pPr>
      <w:r>
        <w:rPr>
          <w:rFonts w:hint="eastAsia" w:cs="Times New Roman"/>
          <w:color w:val="auto"/>
          <w:kern w:val="2"/>
          <w:sz w:val="32"/>
          <w:szCs w:val="22"/>
          <w:lang w:val="en-US" w:eastAsia="zh-CN" w:bidi="ar-SA"/>
        </w:rPr>
        <w:t>3</w:t>
      </w:r>
      <w:r>
        <w:rPr>
          <w:rFonts w:hint="eastAsia" w:ascii="Times New Roman" w:hAnsi="Times New Roman" w:eastAsia="方正仿宋_GBK" w:cs="Times New Roman"/>
          <w:color w:val="auto"/>
          <w:kern w:val="2"/>
          <w:sz w:val="32"/>
          <w:szCs w:val="22"/>
          <w:lang w:val="en-US" w:eastAsia="zh-CN" w:bidi="ar-SA"/>
        </w:rPr>
        <w:t>．乡村建设行动项目</w:t>
      </w:r>
    </w:p>
    <w:p>
      <w:pPr>
        <w:spacing w:line="600" w:lineRule="exact"/>
        <w:ind w:firstLine="624" w:firstLineChars="200"/>
        <w:rPr>
          <w:color w:val="auto"/>
        </w:rPr>
      </w:pPr>
      <w:r>
        <w:rPr>
          <w:rFonts w:hint="eastAsia" w:ascii="Times New Roman" w:hAnsi="Times New Roman" w:eastAsia="方正仿宋_GBK" w:cs="Times New Roman"/>
          <w:color w:val="auto"/>
          <w:kern w:val="2"/>
          <w:sz w:val="32"/>
          <w:szCs w:val="22"/>
          <w:lang w:val="en-US" w:eastAsia="zh-CN" w:bidi="ar-SA"/>
        </w:rPr>
        <w:t>（1）资金安排及建设任务：计划安排资</w:t>
      </w:r>
      <w:r>
        <w:rPr>
          <w:color w:val="auto"/>
        </w:rPr>
        <w:t>金</w:t>
      </w:r>
      <w:r>
        <w:rPr>
          <w:rFonts w:hint="eastAsia"/>
          <w:color w:val="auto"/>
          <w:lang w:val="en-US" w:eastAsia="zh-CN"/>
        </w:rPr>
        <w:t>800</w:t>
      </w:r>
      <w:r>
        <w:rPr>
          <w:color w:val="auto"/>
        </w:rPr>
        <w:t>万元，用于</w:t>
      </w:r>
      <w:r>
        <w:rPr>
          <w:rFonts w:hint="eastAsia"/>
          <w:color w:val="auto"/>
          <w:lang w:eastAsia="zh-CN"/>
        </w:rPr>
        <w:t>中安、胜境、后所、墨红、竹园等</w:t>
      </w:r>
      <w:r>
        <w:rPr>
          <w:rFonts w:hint="eastAsia"/>
          <w:color w:val="auto"/>
          <w:lang w:val="en-US" w:eastAsia="zh-CN"/>
        </w:rPr>
        <w:t>5个</w:t>
      </w:r>
      <w:r>
        <w:rPr>
          <w:rFonts w:hint="eastAsia"/>
          <w:color w:val="auto"/>
        </w:rPr>
        <w:t>乡</w:t>
      </w:r>
      <w:r>
        <w:rPr>
          <w:rFonts w:hint="eastAsia"/>
          <w:color w:val="auto"/>
          <w:lang w:eastAsia="zh-CN"/>
        </w:rPr>
        <w:t>镇（街道）共</w:t>
      </w:r>
      <w:r>
        <w:rPr>
          <w:rFonts w:hint="eastAsia"/>
          <w:color w:val="auto"/>
          <w:lang w:val="en-US" w:eastAsia="zh-CN"/>
        </w:rPr>
        <w:t>6个项目建设，其中宜居宜业和美示范村建设4个项目，</w:t>
      </w:r>
      <w:r>
        <w:rPr>
          <w:rFonts w:hint="eastAsia"/>
          <w:color w:val="auto"/>
          <w:lang w:eastAsia="zh-CN"/>
        </w:rPr>
        <w:t>农村人居提升</w:t>
      </w:r>
      <w:r>
        <w:rPr>
          <w:rFonts w:hint="eastAsia"/>
          <w:color w:val="auto"/>
          <w:lang w:val="en-US" w:eastAsia="zh-CN"/>
        </w:rPr>
        <w:t>2个</w:t>
      </w:r>
      <w:r>
        <w:rPr>
          <w:rFonts w:hint="eastAsia"/>
          <w:color w:val="auto"/>
        </w:rPr>
        <w:t>项目。</w:t>
      </w:r>
    </w:p>
    <w:p>
      <w:pPr>
        <w:spacing w:line="600" w:lineRule="exact"/>
        <w:ind w:firstLine="624" w:firstLineChars="200"/>
        <w:rPr>
          <w:rFonts w:hint="eastAsia" w:eastAsia="方正仿宋_GBK"/>
          <w:color w:val="auto"/>
          <w:lang w:eastAsia="zh-CN"/>
        </w:rPr>
      </w:pPr>
      <w:r>
        <w:rPr>
          <w:color w:val="auto"/>
        </w:rPr>
        <w:t>（2）责任单位：</w:t>
      </w:r>
      <w:r>
        <w:rPr>
          <w:rFonts w:hint="eastAsia"/>
          <w:color w:val="auto"/>
        </w:rPr>
        <w:t>县</w:t>
      </w:r>
      <w:r>
        <w:rPr>
          <w:rFonts w:hint="eastAsia"/>
          <w:color w:val="auto"/>
          <w:lang w:eastAsia="zh-CN"/>
        </w:rPr>
        <w:t>农业农村</w:t>
      </w:r>
      <w:r>
        <w:rPr>
          <w:rFonts w:hint="eastAsia"/>
          <w:color w:val="auto"/>
        </w:rPr>
        <w:t>局</w:t>
      </w:r>
      <w:r>
        <w:rPr>
          <w:color w:val="auto"/>
        </w:rPr>
        <w:t>、</w:t>
      </w:r>
      <w:r>
        <w:rPr>
          <w:rFonts w:hint="eastAsia"/>
          <w:color w:val="auto"/>
          <w:lang w:eastAsia="zh-CN"/>
        </w:rPr>
        <w:t>县乡村振兴局、</w:t>
      </w:r>
      <w:r>
        <w:rPr>
          <w:rFonts w:hint="eastAsia"/>
          <w:color w:val="auto"/>
        </w:rPr>
        <w:t>相关乡</w:t>
      </w:r>
      <w:r>
        <w:rPr>
          <w:rFonts w:hint="eastAsia"/>
          <w:color w:val="auto"/>
          <w:lang w:eastAsia="zh-CN"/>
        </w:rPr>
        <w:t>（</w:t>
      </w:r>
      <w:r>
        <w:rPr>
          <w:rFonts w:hint="eastAsia"/>
          <w:color w:val="auto"/>
        </w:rPr>
        <w:t>镇</w:t>
      </w:r>
      <w:r>
        <w:rPr>
          <w:rFonts w:hint="eastAsia"/>
          <w:color w:val="auto"/>
          <w:lang w:eastAsia="zh-CN"/>
        </w:rPr>
        <w:t>）</w:t>
      </w:r>
      <w:r>
        <w:rPr>
          <w:rFonts w:hint="eastAsia"/>
          <w:color w:val="auto"/>
        </w:rPr>
        <w:t>人民政府</w:t>
      </w:r>
      <w:r>
        <w:rPr>
          <w:rFonts w:hint="eastAsia"/>
          <w:color w:val="auto"/>
          <w:lang w:eastAsia="zh-CN"/>
        </w:rPr>
        <w:t>、街道办事处。</w:t>
      </w:r>
    </w:p>
    <w:p>
      <w:pPr>
        <w:spacing w:line="600" w:lineRule="exact"/>
        <w:ind w:firstLine="624" w:firstLineChars="200"/>
        <w:rPr>
          <w:color w:val="auto"/>
        </w:rPr>
      </w:pPr>
      <w:r>
        <w:rPr>
          <w:color w:val="auto"/>
        </w:rPr>
        <w:t>（3）时间进度：202</w:t>
      </w:r>
      <w:r>
        <w:rPr>
          <w:rFonts w:hint="eastAsia"/>
          <w:color w:val="auto"/>
        </w:rPr>
        <w:t>3</w:t>
      </w:r>
      <w:r>
        <w:rPr>
          <w:color w:val="auto"/>
        </w:rPr>
        <w:t>年12月底完成。</w:t>
      </w:r>
    </w:p>
    <w:p>
      <w:pPr>
        <w:spacing w:line="600" w:lineRule="exact"/>
        <w:ind w:firstLine="624" w:firstLineChars="200"/>
        <w:rPr>
          <w:color w:val="auto"/>
        </w:rPr>
      </w:pPr>
      <w:r>
        <w:rPr>
          <w:color w:val="auto"/>
        </w:rPr>
        <w:t>（4）绩效目标：项目覆盖</w:t>
      </w:r>
      <w:r>
        <w:rPr>
          <w:rFonts w:hint="eastAsia"/>
          <w:color w:val="auto"/>
        </w:rPr>
        <w:t>全县</w:t>
      </w:r>
      <w:r>
        <w:rPr>
          <w:rFonts w:hint="eastAsia"/>
          <w:color w:val="auto"/>
          <w:lang w:val="en-US" w:eastAsia="zh-CN"/>
        </w:rPr>
        <w:t>6</w:t>
      </w:r>
      <w:r>
        <w:rPr>
          <w:color w:val="auto"/>
        </w:rPr>
        <w:t>个乡镇</w:t>
      </w:r>
      <w:r>
        <w:rPr>
          <w:rFonts w:hint="eastAsia"/>
          <w:color w:val="auto"/>
          <w:lang w:eastAsia="zh-CN"/>
        </w:rPr>
        <w:t>（街道</w:t>
      </w:r>
      <w:r>
        <w:rPr>
          <w:rFonts w:hint="eastAsia"/>
          <w:color w:val="auto"/>
        </w:rPr>
        <w:t>），</w:t>
      </w:r>
      <w:r>
        <w:rPr>
          <w:rFonts w:hint="eastAsia"/>
          <w:color w:val="auto"/>
          <w:lang w:eastAsia="zh-CN"/>
        </w:rPr>
        <w:t>共</w:t>
      </w:r>
      <w:r>
        <w:rPr>
          <w:rFonts w:hint="eastAsia"/>
          <w:color w:val="auto"/>
          <w:lang w:val="en-US" w:eastAsia="zh-CN"/>
        </w:rPr>
        <w:t>6个项目，</w:t>
      </w:r>
      <w:r>
        <w:rPr>
          <w:rFonts w:hint="eastAsia"/>
          <w:color w:val="auto"/>
        </w:rPr>
        <w:t>项目建成后，村庄基础设施服务功能进一步完善，村庄环境卫生进一步改善，群众生产生活水平明显提高。受益村</w:t>
      </w:r>
      <w:r>
        <w:rPr>
          <w:rFonts w:hint="eastAsia"/>
          <w:color w:val="auto"/>
          <w:lang w:val="en-US" w:eastAsia="zh-CN"/>
        </w:rPr>
        <w:t>6</w:t>
      </w:r>
      <w:r>
        <w:rPr>
          <w:rFonts w:hint="eastAsia"/>
          <w:color w:val="auto"/>
        </w:rPr>
        <w:t xml:space="preserve"> 个</w:t>
      </w:r>
      <w:r>
        <w:rPr>
          <w:rFonts w:hint="eastAsia"/>
          <w:color w:val="auto"/>
          <w:lang w:eastAsia="zh-CN"/>
        </w:rPr>
        <w:t>，</w:t>
      </w:r>
      <w:r>
        <w:rPr>
          <w:rFonts w:hint="eastAsia"/>
          <w:color w:val="auto"/>
        </w:rPr>
        <w:t>其中：</w:t>
      </w:r>
      <w:r>
        <w:rPr>
          <w:rFonts w:hint="eastAsia"/>
          <w:color w:val="auto"/>
          <w:lang w:eastAsia="zh-CN"/>
        </w:rPr>
        <w:t>受益</w:t>
      </w:r>
      <w:r>
        <w:rPr>
          <w:rFonts w:hint="eastAsia"/>
          <w:color w:val="auto"/>
        </w:rPr>
        <w:t>脱贫户、监测对象户</w:t>
      </w:r>
      <w:r>
        <w:rPr>
          <w:rFonts w:hint="eastAsia"/>
          <w:color w:val="auto"/>
          <w:lang w:val="en-US" w:eastAsia="zh-CN"/>
        </w:rPr>
        <w:t>198</w:t>
      </w:r>
      <w:r>
        <w:rPr>
          <w:rFonts w:hint="eastAsia"/>
          <w:color w:val="auto"/>
        </w:rPr>
        <w:t xml:space="preserve"> 户</w:t>
      </w:r>
      <w:r>
        <w:rPr>
          <w:rFonts w:hint="eastAsia"/>
          <w:color w:val="auto"/>
          <w:lang w:val="en-US" w:eastAsia="zh-CN"/>
        </w:rPr>
        <w:t>907</w:t>
      </w:r>
      <w:r>
        <w:rPr>
          <w:rFonts w:hint="eastAsia"/>
          <w:color w:val="auto"/>
        </w:rPr>
        <w:t>人。</w:t>
      </w:r>
    </w:p>
    <w:p>
      <w:pPr>
        <w:spacing w:line="600" w:lineRule="exact"/>
        <w:ind w:firstLine="624" w:firstLineChars="200"/>
        <w:rPr>
          <w:rFonts w:hint="eastAsia" w:ascii="方正楷体_GBK" w:hAnsi="方正楷体_GBK" w:eastAsia="方正楷体_GBK" w:cs="方正楷体_GBK"/>
          <w:color w:val="auto"/>
        </w:rPr>
      </w:pPr>
      <w:r>
        <w:rPr>
          <w:rFonts w:hint="eastAsia" w:ascii="方正楷体_GBK" w:hAnsi="方正楷体_GBK" w:eastAsia="方正楷体_GBK" w:cs="方正楷体_GBK"/>
          <w:color w:val="auto"/>
        </w:rPr>
        <w:t>（六）农村道路建设项目</w:t>
      </w:r>
    </w:p>
    <w:p>
      <w:pPr>
        <w:spacing w:line="600" w:lineRule="exact"/>
        <w:ind w:firstLine="624" w:firstLineChars="200"/>
        <w:rPr>
          <w:rFonts w:hint="eastAsia"/>
          <w:color w:val="auto"/>
        </w:rPr>
      </w:pPr>
      <w:r>
        <w:rPr>
          <w:color w:val="auto"/>
        </w:rPr>
        <w:t>（1）资金安排及建设任务：计划安排资金</w:t>
      </w:r>
      <w:r>
        <w:rPr>
          <w:rFonts w:hint="eastAsia"/>
          <w:color w:val="auto"/>
          <w:lang w:val="en-US" w:eastAsia="zh-CN"/>
        </w:rPr>
        <w:t>4</w:t>
      </w:r>
      <w:r>
        <w:rPr>
          <w:rFonts w:hint="eastAsia"/>
          <w:color w:val="auto"/>
        </w:rPr>
        <w:t>95</w:t>
      </w:r>
      <w:r>
        <w:rPr>
          <w:color w:val="auto"/>
        </w:rPr>
        <w:t>万元，用于</w:t>
      </w:r>
      <w:r>
        <w:rPr>
          <w:rFonts w:hint="eastAsia"/>
          <w:color w:val="auto"/>
        </w:rPr>
        <w:t>富源县大河镇起堡村通村道路建设（产业配套以工代赈项目），建设黄桃基地配套水泥混凝土公路长12.436千米,路面宽6.5米；支砌排水沟12千米，支砌挡土墙800米及其他配套设施</w:t>
      </w:r>
      <w:r>
        <w:rPr>
          <w:rFonts w:hint="eastAsia"/>
          <w:color w:val="auto"/>
          <w:lang w:eastAsia="zh-CN"/>
        </w:rPr>
        <w:t>；富村镇块泽村委会茶叶树至迤彩道路硬化工程，道路硬化工程全长为1.77公里，路基宽为5.5米，路面宽4.5米，主要内容为路基土石方工程、路基排水与加固工程、厚20cmC30水泥混凝土路面层、钢筋混凝土圆管涵工程及公路沿线交通安防等工程。</w:t>
      </w:r>
    </w:p>
    <w:p>
      <w:pPr>
        <w:spacing w:line="600" w:lineRule="exact"/>
        <w:ind w:left="624" w:leftChars="200" w:firstLine="0" w:firstLineChars="0"/>
        <w:rPr>
          <w:rFonts w:hint="eastAsia"/>
          <w:color w:val="auto"/>
          <w:lang w:eastAsia="zh-CN"/>
        </w:rPr>
      </w:pPr>
      <w:r>
        <w:rPr>
          <w:color w:val="auto"/>
        </w:rPr>
        <w:t>（2）责任单位：县</w:t>
      </w:r>
      <w:r>
        <w:rPr>
          <w:rFonts w:hint="eastAsia"/>
          <w:color w:val="auto"/>
        </w:rPr>
        <w:t>发改局、</w:t>
      </w:r>
      <w:r>
        <w:rPr>
          <w:rFonts w:hint="eastAsia"/>
          <w:color w:val="auto"/>
          <w:lang w:eastAsia="zh-CN"/>
        </w:rPr>
        <w:t>县交通局、</w:t>
      </w:r>
      <w:r>
        <w:rPr>
          <w:rFonts w:hint="eastAsia"/>
          <w:color w:val="auto"/>
        </w:rPr>
        <w:t>大河镇人民政府</w:t>
      </w:r>
      <w:r>
        <w:rPr>
          <w:rFonts w:hint="eastAsia"/>
          <w:color w:val="auto"/>
          <w:lang w:eastAsia="zh-CN"/>
        </w:rPr>
        <w:t>。</w:t>
      </w:r>
    </w:p>
    <w:p>
      <w:pPr>
        <w:spacing w:line="600" w:lineRule="exact"/>
        <w:ind w:left="624" w:leftChars="200" w:firstLine="0" w:firstLineChars="0"/>
        <w:rPr>
          <w:color w:val="auto"/>
        </w:rPr>
      </w:pPr>
      <w:r>
        <w:rPr>
          <w:color w:val="auto"/>
        </w:rPr>
        <w:t>（3）时间进度：202</w:t>
      </w:r>
      <w:r>
        <w:rPr>
          <w:rFonts w:hint="eastAsia"/>
          <w:color w:val="auto"/>
        </w:rPr>
        <w:t>3</w:t>
      </w:r>
      <w:r>
        <w:rPr>
          <w:color w:val="auto"/>
        </w:rPr>
        <w:t>年12月底完成。</w:t>
      </w:r>
    </w:p>
    <w:p>
      <w:pPr>
        <w:spacing w:line="600" w:lineRule="exact"/>
        <w:ind w:firstLine="624" w:firstLineChars="200"/>
        <w:rPr>
          <w:rFonts w:hint="eastAsia"/>
          <w:color w:val="auto"/>
        </w:rPr>
      </w:pPr>
      <w:r>
        <w:rPr>
          <w:color w:val="auto"/>
        </w:rPr>
        <w:t>（4）绩效目标：</w:t>
      </w:r>
      <w:r>
        <w:rPr>
          <w:rFonts w:hint="eastAsia"/>
          <w:color w:val="auto"/>
          <w:lang w:eastAsia="zh-CN"/>
        </w:rPr>
        <w:t>建成大河镇项目</w:t>
      </w:r>
      <w:r>
        <w:rPr>
          <w:rFonts w:hint="eastAsia"/>
          <w:color w:val="auto"/>
        </w:rPr>
        <w:t>，将进一步改善黄桃产业基地生产及运输条件，促进黄桃产业发展壮大，同时为周边群众的生产生活及出行提供便利；工程建设预计带动当地群众务工人数（非人次）80人，计划发放劳务报酬85万元，预计培训务工群众人数（非人次）75人，预计设置公益性岗位安排1人。</w:t>
      </w:r>
      <w:r>
        <w:rPr>
          <w:rFonts w:hint="eastAsia"/>
          <w:color w:val="auto"/>
          <w:lang w:eastAsia="zh-CN"/>
        </w:rPr>
        <w:t>富村镇项目建成后将</w:t>
      </w:r>
      <w:r>
        <w:rPr>
          <w:rFonts w:hint="eastAsia"/>
          <w:color w:val="auto"/>
        </w:rPr>
        <w:t>进一步补齐道路基础设施短板，项目覆盖463户1991人，其中：监测对象户32户128人。</w:t>
      </w:r>
    </w:p>
    <w:p>
      <w:pPr>
        <w:spacing w:line="600" w:lineRule="exact"/>
        <w:ind w:firstLine="624" w:firstLineChars="200"/>
        <w:rPr>
          <w:rFonts w:eastAsia="方正楷体_GBK"/>
          <w:color w:val="auto"/>
        </w:rPr>
      </w:pPr>
      <w:r>
        <w:rPr>
          <w:rFonts w:eastAsia="方正楷体_GBK"/>
          <w:color w:val="auto"/>
        </w:rPr>
        <w:t>（</w:t>
      </w:r>
      <w:r>
        <w:rPr>
          <w:rFonts w:hint="eastAsia" w:eastAsia="方正楷体_GBK"/>
          <w:color w:val="auto"/>
        </w:rPr>
        <w:t>七</w:t>
      </w:r>
      <w:r>
        <w:rPr>
          <w:rFonts w:eastAsia="方正楷体_GBK"/>
          <w:color w:val="auto"/>
        </w:rPr>
        <w:t>）其他类项目</w:t>
      </w:r>
    </w:p>
    <w:p>
      <w:pPr>
        <w:spacing w:line="600" w:lineRule="exact"/>
        <w:ind w:firstLine="624" w:firstLineChars="200"/>
        <w:rPr>
          <w:color w:val="auto"/>
        </w:rPr>
      </w:pPr>
      <w:r>
        <w:rPr>
          <w:color w:val="auto"/>
        </w:rPr>
        <w:t>1．</w:t>
      </w:r>
      <w:r>
        <w:rPr>
          <w:rFonts w:hint="eastAsia"/>
          <w:color w:val="auto"/>
        </w:rPr>
        <w:t>监测帮扶对象公益性岗位</w:t>
      </w:r>
    </w:p>
    <w:p>
      <w:pPr>
        <w:spacing w:line="600" w:lineRule="exact"/>
        <w:ind w:firstLine="624" w:firstLineChars="200"/>
        <w:rPr>
          <w:color w:val="auto"/>
        </w:rPr>
      </w:pPr>
      <w:r>
        <w:rPr>
          <w:color w:val="auto"/>
        </w:rPr>
        <w:t>（1）资金安排及建设任务：计划安排资金</w:t>
      </w:r>
      <w:r>
        <w:rPr>
          <w:rFonts w:hint="eastAsia"/>
          <w:color w:val="auto"/>
        </w:rPr>
        <w:t>742.08</w:t>
      </w:r>
      <w:r>
        <w:rPr>
          <w:color w:val="auto"/>
        </w:rPr>
        <w:t>万元，用于</w:t>
      </w:r>
      <w:r>
        <w:rPr>
          <w:rFonts w:hint="eastAsia"/>
          <w:color w:val="auto"/>
        </w:rPr>
        <w:t>全县12个乡（镇）、街道巩固脱贫成果选聘开发三类监测对象</w:t>
      </w:r>
      <w:r>
        <w:rPr>
          <w:rFonts w:hint="eastAsia"/>
          <w:color w:val="auto"/>
          <w:lang w:eastAsia="zh-CN"/>
        </w:rPr>
        <w:t>公益性岗位</w:t>
      </w:r>
      <w:r>
        <w:rPr>
          <w:rFonts w:hint="eastAsia"/>
          <w:color w:val="auto"/>
        </w:rPr>
        <w:t>773人，每月补助800元计算。</w:t>
      </w:r>
    </w:p>
    <w:p>
      <w:pPr>
        <w:spacing w:line="606" w:lineRule="exact"/>
        <w:ind w:firstLine="624" w:firstLineChars="200"/>
        <w:rPr>
          <w:rFonts w:hint="eastAsia" w:eastAsia="方正仿宋_GBK"/>
          <w:color w:val="auto"/>
          <w:lang w:eastAsia="zh-CN"/>
        </w:rPr>
      </w:pPr>
      <w:r>
        <w:rPr>
          <w:color w:val="auto"/>
        </w:rPr>
        <w:t>（2）责任单位：县</w:t>
      </w:r>
      <w:r>
        <w:rPr>
          <w:rFonts w:hint="eastAsia"/>
          <w:color w:val="auto"/>
        </w:rPr>
        <w:t>乡村振兴局</w:t>
      </w:r>
      <w:r>
        <w:rPr>
          <w:rFonts w:hint="eastAsia"/>
          <w:color w:val="auto"/>
          <w:lang w:eastAsia="zh-CN"/>
        </w:rPr>
        <w:t>，</w:t>
      </w:r>
      <w:r>
        <w:rPr>
          <w:color w:val="auto"/>
        </w:rPr>
        <w:t>各乡（镇）人民政府、街道办事处。</w:t>
      </w:r>
    </w:p>
    <w:p>
      <w:pPr>
        <w:spacing w:line="600" w:lineRule="exact"/>
        <w:ind w:firstLine="624" w:firstLineChars="200"/>
        <w:rPr>
          <w:color w:val="auto"/>
        </w:rPr>
      </w:pPr>
      <w:r>
        <w:rPr>
          <w:color w:val="auto"/>
        </w:rPr>
        <w:t>（3）时间进度：202</w:t>
      </w:r>
      <w:r>
        <w:rPr>
          <w:rFonts w:hint="eastAsia"/>
          <w:color w:val="auto"/>
        </w:rPr>
        <w:t>3</w:t>
      </w:r>
      <w:r>
        <w:rPr>
          <w:color w:val="auto"/>
        </w:rPr>
        <w:t>年</w:t>
      </w:r>
      <w:r>
        <w:rPr>
          <w:rFonts w:hint="eastAsia"/>
          <w:color w:val="auto"/>
        </w:rPr>
        <w:t>12</w:t>
      </w:r>
      <w:r>
        <w:rPr>
          <w:color w:val="auto"/>
        </w:rPr>
        <w:t>月底。</w:t>
      </w:r>
    </w:p>
    <w:p>
      <w:pPr>
        <w:spacing w:line="600" w:lineRule="exact"/>
        <w:ind w:firstLine="624" w:firstLineChars="200"/>
        <w:rPr>
          <w:color w:val="auto"/>
        </w:rPr>
      </w:pPr>
      <w:r>
        <w:rPr>
          <w:color w:val="auto"/>
        </w:rPr>
        <w:t>（4）绩效目标：</w:t>
      </w:r>
      <w:r>
        <w:rPr>
          <w:rFonts w:hint="eastAsia"/>
          <w:color w:val="auto"/>
        </w:rPr>
        <w:t>项目建成后，方便三类监测群众就近就便就业，帮扶低收入家庭增收的有效措施。覆盖三类监测对象受益人口773户3440人。</w:t>
      </w:r>
    </w:p>
    <w:p>
      <w:pPr>
        <w:spacing w:line="600" w:lineRule="exact"/>
        <w:ind w:firstLine="624" w:firstLineChars="200"/>
        <w:rPr>
          <w:color w:val="auto"/>
        </w:rPr>
      </w:pPr>
      <w:r>
        <w:rPr>
          <w:color w:val="auto"/>
        </w:rPr>
        <w:t>（5）补助标准：</w:t>
      </w:r>
      <w:r>
        <w:rPr>
          <w:rFonts w:hint="eastAsia"/>
          <w:color w:val="auto"/>
        </w:rPr>
        <w:t>800元/人/月。</w:t>
      </w:r>
    </w:p>
    <w:p>
      <w:pPr>
        <w:spacing w:line="600" w:lineRule="exact"/>
        <w:ind w:firstLine="621" w:firstLineChars="199"/>
        <w:rPr>
          <w:color w:val="auto"/>
        </w:rPr>
      </w:pPr>
      <w:r>
        <w:rPr>
          <w:rFonts w:hint="eastAsia"/>
          <w:color w:val="auto"/>
        </w:rPr>
        <w:t>2</w:t>
      </w:r>
      <w:r>
        <w:rPr>
          <w:color w:val="auto"/>
        </w:rPr>
        <w:t>．雨露计划</w:t>
      </w:r>
    </w:p>
    <w:p>
      <w:pPr>
        <w:spacing w:line="600" w:lineRule="exact"/>
        <w:ind w:firstLine="624" w:firstLineChars="200"/>
        <w:rPr>
          <w:color w:val="auto"/>
        </w:rPr>
      </w:pPr>
      <w:r>
        <w:rPr>
          <w:color w:val="auto"/>
        </w:rPr>
        <w:t>（1）资金安排及建设任务：计划安排资金</w:t>
      </w:r>
      <w:r>
        <w:rPr>
          <w:rFonts w:hint="eastAsia"/>
          <w:color w:val="auto"/>
          <w:lang w:val="en-US" w:eastAsia="zh-CN"/>
        </w:rPr>
        <w:t>953.9</w:t>
      </w:r>
      <w:r>
        <w:rPr>
          <w:color w:val="auto"/>
        </w:rPr>
        <w:t>万元</w:t>
      </w:r>
      <w:r>
        <w:rPr>
          <w:rFonts w:hint="eastAsia"/>
          <w:color w:val="auto"/>
        </w:rPr>
        <w:t>，用于全县脱贫人口和监测对象户家庭中子女接受中等职业教育（含普通中专、成人中专、职业高中、技工院校）、高等职业教育程度，按3000元、4000元、5000元每学年补助标准，补助在校生2050人次。</w:t>
      </w:r>
    </w:p>
    <w:p>
      <w:pPr>
        <w:spacing w:line="600" w:lineRule="exact"/>
        <w:ind w:firstLine="624" w:firstLineChars="200"/>
        <w:rPr>
          <w:rFonts w:hint="eastAsia" w:eastAsia="方正仿宋_GBK"/>
          <w:color w:val="auto"/>
          <w:lang w:eastAsia="zh-CN"/>
        </w:rPr>
      </w:pPr>
      <w:r>
        <w:rPr>
          <w:color w:val="auto"/>
        </w:rPr>
        <w:t>（2）责任单位：县教育体育局</w:t>
      </w:r>
      <w:r>
        <w:rPr>
          <w:rFonts w:hint="eastAsia"/>
          <w:color w:val="auto"/>
          <w:lang w:eastAsia="zh-CN"/>
        </w:rPr>
        <w:t>、县乡村振兴局。</w:t>
      </w:r>
    </w:p>
    <w:p>
      <w:pPr>
        <w:spacing w:line="600" w:lineRule="exact"/>
        <w:ind w:firstLine="624" w:firstLineChars="200"/>
        <w:rPr>
          <w:color w:val="auto"/>
        </w:rPr>
      </w:pPr>
      <w:r>
        <w:rPr>
          <w:color w:val="auto"/>
        </w:rPr>
        <w:t>（3）时间进度：202</w:t>
      </w:r>
      <w:r>
        <w:rPr>
          <w:rFonts w:hint="eastAsia"/>
          <w:color w:val="auto"/>
        </w:rPr>
        <w:t>3</w:t>
      </w:r>
      <w:r>
        <w:rPr>
          <w:color w:val="auto"/>
        </w:rPr>
        <w:t>年</w:t>
      </w:r>
      <w:r>
        <w:rPr>
          <w:rFonts w:hint="eastAsia"/>
          <w:color w:val="auto"/>
        </w:rPr>
        <w:t>12</w:t>
      </w:r>
      <w:r>
        <w:rPr>
          <w:color w:val="auto"/>
        </w:rPr>
        <w:t>月底。</w:t>
      </w:r>
    </w:p>
    <w:p>
      <w:pPr>
        <w:spacing w:line="600" w:lineRule="exact"/>
        <w:ind w:firstLine="624" w:firstLineChars="200"/>
        <w:rPr>
          <w:color w:val="auto"/>
        </w:rPr>
      </w:pPr>
      <w:r>
        <w:rPr>
          <w:color w:val="auto"/>
        </w:rPr>
        <w:t>（4）绩效目标：</w:t>
      </w:r>
      <w:r>
        <w:rPr>
          <w:rFonts w:hint="eastAsia"/>
          <w:color w:val="auto"/>
        </w:rPr>
        <w:t>帮助脱贫人口和监测对象人口新成长劳动力按时完成学业，促进脱贫人口实行技能型稳定就业创业增收。覆盖受益人口2050户8925人，其中：脱贫户和监测对象户</w:t>
      </w:r>
      <w:r>
        <w:rPr>
          <w:rFonts w:hint="eastAsia"/>
          <w:color w:val="auto"/>
          <w:lang w:val="en-US" w:eastAsia="zh-CN"/>
        </w:rPr>
        <w:t>653</w:t>
      </w:r>
      <w:r>
        <w:rPr>
          <w:rFonts w:hint="eastAsia"/>
          <w:color w:val="auto"/>
        </w:rPr>
        <w:t>户1</w:t>
      </w:r>
      <w:r>
        <w:rPr>
          <w:rFonts w:hint="eastAsia"/>
          <w:color w:val="auto"/>
          <w:lang w:val="en-US" w:eastAsia="zh-CN"/>
        </w:rPr>
        <w:t>809</w:t>
      </w:r>
      <w:r>
        <w:rPr>
          <w:rFonts w:hint="eastAsia"/>
          <w:color w:val="auto"/>
        </w:rPr>
        <w:t>人。</w:t>
      </w:r>
    </w:p>
    <w:p>
      <w:pPr>
        <w:spacing w:line="600" w:lineRule="exact"/>
        <w:ind w:firstLine="624" w:firstLineChars="200"/>
        <w:rPr>
          <w:rFonts w:eastAsia="方正黑体_GBK"/>
          <w:color w:val="auto"/>
        </w:rPr>
      </w:pPr>
      <w:r>
        <w:rPr>
          <w:rFonts w:eastAsia="方正黑体_GBK"/>
          <w:color w:val="auto"/>
        </w:rPr>
        <w:t>五、有关要求</w:t>
      </w:r>
    </w:p>
    <w:p>
      <w:pPr>
        <w:spacing w:line="600" w:lineRule="exact"/>
        <w:ind w:firstLine="624" w:firstLineChars="200"/>
        <w:rPr>
          <w:rFonts w:eastAsia="方正楷体_GBK"/>
          <w:color w:val="auto"/>
        </w:rPr>
      </w:pPr>
      <w:r>
        <w:rPr>
          <w:rFonts w:eastAsia="方正楷体_GBK"/>
          <w:color w:val="auto"/>
        </w:rPr>
        <w:t>（一）加强项目资金使用管理</w:t>
      </w:r>
    </w:p>
    <w:p>
      <w:pPr>
        <w:spacing w:line="600" w:lineRule="exact"/>
        <w:ind w:firstLine="624" w:firstLineChars="200"/>
        <w:rPr>
          <w:color w:val="auto"/>
        </w:rPr>
      </w:pPr>
      <w:r>
        <w:rPr>
          <w:color w:val="auto"/>
        </w:rPr>
        <w:t>1．严格项目实施责任。在项目实施管理上实行主管部门和乡（镇）、街道共同负责制。项目主管部门要对项目实施情况进行指导、跟踪和督促问效。</w:t>
      </w:r>
    </w:p>
    <w:p>
      <w:pPr>
        <w:spacing w:line="600" w:lineRule="exact"/>
        <w:ind w:firstLine="624" w:firstLineChars="200"/>
        <w:rPr>
          <w:color w:val="auto"/>
        </w:rPr>
      </w:pPr>
      <w:r>
        <w:rPr>
          <w:color w:val="auto"/>
        </w:rPr>
        <w:t>2．严格资金审批拨付。所有统筹整合的项目资金，必须纳入年度</w:t>
      </w:r>
      <w:r>
        <w:rPr>
          <w:color w:val="auto"/>
          <w:szCs w:val="32"/>
        </w:rPr>
        <w:t>巩固拓展脱贫攻坚成果同乡村振兴有效衔接</w:t>
      </w:r>
      <w:r>
        <w:rPr>
          <w:color w:val="auto"/>
        </w:rPr>
        <w:t>计划进行项目安排。统筹整合项目资金实行国库集中支付管理，各乡（镇）、街道要加快办理项目竣工财务决算手续，审核和完善报账资料，对报账资料的真实性和准确性负责。及时拨付项目资金，确保不出现资金滞留问题。</w:t>
      </w:r>
    </w:p>
    <w:p>
      <w:pPr>
        <w:spacing w:line="600" w:lineRule="exact"/>
        <w:ind w:firstLine="624" w:firstLineChars="200"/>
        <w:rPr>
          <w:color w:val="auto"/>
        </w:rPr>
      </w:pPr>
      <w:r>
        <w:rPr>
          <w:color w:val="auto"/>
        </w:rPr>
        <w:t>3．严格资金管理。各乡（镇）、街道对整合资金要实行专人管理、专账核算，对所有整合项目实行台账登记。同时，每月将项目实施、资金拨付和结余结转情况报县统筹整合涉农资金工作领导小组办公室。</w:t>
      </w:r>
    </w:p>
    <w:p>
      <w:pPr>
        <w:spacing w:line="600" w:lineRule="exact"/>
        <w:ind w:firstLine="624" w:firstLineChars="200"/>
        <w:rPr>
          <w:color w:val="auto"/>
        </w:rPr>
      </w:pPr>
      <w:r>
        <w:rPr>
          <w:color w:val="auto"/>
        </w:rPr>
        <w:t>4．严格项目监管。各乡（镇）、街道要严格落实巩</w:t>
      </w:r>
      <w:r>
        <w:rPr>
          <w:rFonts w:hint="eastAsia"/>
          <w:color w:val="auto"/>
        </w:rPr>
        <w:t>巩固拓展脱贫攻坚成果同乡村振兴有效衔接</w:t>
      </w:r>
      <w:r>
        <w:rPr>
          <w:color w:val="auto"/>
        </w:rPr>
        <w:t>项目公示制、招投标制、监理制、验收审计等制度，让项目实施在阳光下运行。县纪委监委、县财政局、县</w:t>
      </w:r>
      <w:r>
        <w:rPr>
          <w:rFonts w:hint="eastAsia"/>
          <w:color w:val="auto"/>
        </w:rPr>
        <w:t>乡村振兴局</w:t>
      </w:r>
      <w:r>
        <w:rPr>
          <w:color w:val="auto"/>
        </w:rPr>
        <w:t>等有关部门，负责统筹整合资金分配使用的监督检查工作。县审计局负责对统筹整合项目的实施以及资金的分配、拨付和使用进行审计和监督，杜绝跑冒滴漏等不良现象发生，确保统筹整合资金使用安全，对挤占、挪用、骗取统筹整合资金等行为，严格依纪依法严肃处理。</w:t>
      </w:r>
    </w:p>
    <w:p>
      <w:pPr>
        <w:spacing w:line="600" w:lineRule="exact"/>
        <w:ind w:firstLine="624" w:firstLineChars="200"/>
        <w:rPr>
          <w:rFonts w:eastAsia="方正楷体_GBK"/>
          <w:color w:val="auto"/>
        </w:rPr>
      </w:pPr>
      <w:r>
        <w:rPr>
          <w:rFonts w:eastAsia="方正楷体_GBK"/>
          <w:color w:val="auto"/>
        </w:rPr>
        <w:t>（二）加快项目实施和资金拨付</w:t>
      </w:r>
    </w:p>
    <w:p>
      <w:pPr>
        <w:spacing w:line="600" w:lineRule="exact"/>
        <w:ind w:firstLine="624" w:firstLineChars="200"/>
        <w:rPr>
          <w:color w:val="auto"/>
        </w:rPr>
      </w:pPr>
      <w:r>
        <w:rPr>
          <w:color w:val="auto"/>
        </w:rPr>
        <w:t>严格按照</w:t>
      </w:r>
      <w:r>
        <w:rPr>
          <w:rFonts w:hint="eastAsia" w:ascii="Times New Roman" w:hAnsi="Times New Roman" w:eastAsia="方正仿宋_GBK" w:cs="方正仿宋_GBK"/>
          <w:color w:val="auto"/>
          <w:sz w:val="32"/>
          <w:szCs w:val="32"/>
        </w:rPr>
        <w:t>《中央财政衔接推进乡村振兴补助资金管理办法》（财农〔</w:t>
      </w:r>
      <w:r>
        <w:rPr>
          <w:rFonts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rPr>
        <w:t>21</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Times New Roman"/>
          <w:color w:val="auto"/>
          <w:sz w:val="32"/>
          <w:szCs w:val="32"/>
        </w:rPr>
        <w:t>19</w:t>
      </w:r>
      <w:r>
        <w:rPr>
          <w:rFonts w:hint="eastAsia" w:ascii="Times New Roman" w:hAnsi="Times New Roman" w:eastAsia="方正仿宋_GBK" w:cs="方正仿宋_GBK"/>
          <w:color w:val="auto"/>
          <w:sz w:val="32"/>
          <w:szCs w:val="32"/>
        </w:rPr>
        <w:t>号）</w:t>
      </w:r>
      <w:r>
        <w:rPr>
          <w:rFonts w:hint="eastAsia" w:ascii="Times New Roman" w:hAnsi="Times New Roman" w:cs="方正仿宋_GBK"/>
          <w:color w:val="auto"/>
          <w:sz w:val="32"/>
          <w:szCs w:val="32"/>
          <w:lang w:eastAsia="zh-CN"/>
        </w:rPr>
        <w:t>、</w:t>
      </w:r>
      <w:r>
        <w:rPr>
          <w:color w:val="auto"/>
        </w:rPr>
        <w:t>《</w:t>
      </w:r>
      <w:r>
        <w:rPr>
          <w:rFonts w:hint="eastAsia"/>
          <w:color w:val="auto"/>
        </w:rPr>
        <w:t>云南省财政衔接推进乡村振兴补助资金管理办法</w:t>
      </w:r>
      <w:r>
        <w:rPr>
          <w:color w:val="auto"/>
        </w:rPr>
        <w:t>》（</w:t>
      </w:r>
      <w:r>
        <w:rPr>
          <w:rFonts w:hint="eastAsia"/>
          <w:color w:val="auto"/>
        </w:rPr>
        <w:t>云财农</w:t>
      </w:r>
      <w:r>
        <w:rPr>
          <w:color w:val="auto"/>
        </w:rPr>
        <w:t>〔2021〕140号）</w:t>
      </w:r>
      <w:r>
        <w:rPr>
          <w:rFonts w:hint="eastAsia"/>
          <w:color w:val="auto"/>
          <w:lang w:eastAsia="zh-CN"/>
        </w:rPr>
        <w:t>、</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曲靖市</w:t>
      </w:r>
      <w:r>
        <w:rPr>
          <w:rFonts w:hint="eastAsia" w:ascii="Times New Roman" w:hAnsi="Times New Roman" w:eastAsia="方正仿宋_GBK" w:cs="方正仿宋_GBK"/>
          <w:color w:val="auto"/>
          <w:sz w:val="32"/>
          <w:szCs w:val="32"/>
        </w:rPr>
        <w:t>财政衔接推进乡村振兴补助资金管理办法》（</w:t>
      </w:r>
      <w:r>
        <w:rPr>
          <w:rFonts w:hint="eastAsia" w:ascii="Times New Roman" w:hAnsi="Times New Roman" w:eastAsia="方正仿宋_GBK" w:cs="方正仿宋_GBK"/>
          <w:color w:val="auto"/>
          <w:sz w:val="32"/>
          <w:szCs w:val="32"/>
          <w:lang w:eastAsia="zh-CN"/>
        </w:rPr>
        <w:t>曲</w:t>
      </w:r>
      <w:r>
        <w:rPr>
          <w:rFonts w:hint="eastAsia" w:ascii="Times New Roman" w:hAnsi="Times New Roman" w:eastAsia="方正仿宋_GBK" w:cs="方正仿宋_GBK"/>
          <w:color w:val="auto"/>
          <w:sz w:val="32"/>
          <w:szCs w:val="32"/>
        </w:rPr>
        <w:t>财农〔</w:t>
      </w:r>
      <w:r>
        <w:rPr>
          <w:rFonts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Times New Roman"/>
          <w:color w:val="auto"/>
          <w:sz w:val="32"/>
          <w:szCs w:val="32"/>
          <w:lang w:val="en-US" w:eastAsia="zh-CN"/>
        </w:rPr>
        <w:t>13</w:t>
      </w:r>
      <w:r>
        <w:rPr>
          <w:rFonts w:hint="eastAsia" w:ascii="Times New Roman" w:hAnsi="Times New Roman" w:eastAsia="方正仿宋_GBK" w:cs="方正仿宋_GBK"/>
          <w:color w:val="auto"/>
          <w:sz w:val="32"/>
          <w:szCs w:val="32"/>
        </w:rPr>
        <w:t>号）</w:t>
      </w:r>
      <w:r>
        <w:rPr>
          <w:rFonts w:hint="eastAsia" w:ascii="Times New Roman" w:hAnsi="Times New Roman" w:cs="方正仿宋_GBK"/>
          <w:color w:val="auto"/>
          <w:sz w:val="32"/>
          <w:szCs w:val="32"/>
          <w:lang w:val="en-US" w:eastAsia="zh-CN"/>
        </w:rPr>
        <w:t>等</w:t>
      </w:r>
      <w:r>
        <w:rPr>
          <w:color w:val="auto"/>
        </w:rPr>
        <w:t>文件要求，加快项目实施和资金拨付。</w:t>
      </w:r>
    </w:p>
    <w:p>
      <w:pPr>
        <w:spacing w:line="600" w:lineRule="exact"/>
        <w:ind w:firstLine="624" w:firstLineChars="200"/>
        <w:rPr>
          <w:color w:val="auto"/>
        </w:rPr>
      </w:pPr>
      <w:r>
        <w:rPr>
          <w:color w:val="auto"/>
        </w:rPr>
        <w:t>1．加快统筹整合项目投资预算评审。对已纳入实施方案的项目，由县级行业主管部门组织力量集中评审，评审通过后报县人民政府批复，各部门和乡（镇）、街道组织实施。</w:t>
      </w:r>
    </w:p>
    <w:p>
      <w:pPr>
        <w:spacing w:line="600" w:lineRule="exact"/>
        <w:ind w:firstLine="624" w:firstLineChars="200"/>
        <w:rPr>
          <w:color w:val="auto"/>
        </w:rPr>
      </w:pPr>
      <w:r>
        <w:rPr>
          <w:color w:val="auto"/>
        </w:rPr>
        <w:t>2．严格执行工程招投标有关规定。对单项预算价在限额以下的工程建设项目，可不进行公开招标。要根据项目特点和加快扶贫项目实施进度的要求，依法灵活采用邀请招标、竞争性谈判、竞争性磋商等方式开展工程建设。</w:t>
      </w:r>
    </w:p>
    <w:p>
      <w:pPr>
        <w:spacing w:line="600" w:lineRule="exact"/>
        <w:ind w:firstLine="624" w:firstLineChars="200"/>
        <w:rPr>
          <w:color w:val="auto"/>
        </w:rPr>
      </w:pPr>
      <w:r>
        <w:rPr>
          <w:color w:val="auto"/>
        </w:rPr>
        <w:t>3．及时拨付工程款。对已签订施工合同的统筹整合项目，要根据合同约定及工程进度及时拨付资金。要加快工程进度款拨付，各乡（镇）、街道对施工单位提交的报账拨款申请资料要在3个工作日内审核完毕，并向财政部门申请报账拨款。认真执行留置质保金的有关规定。</w:t>
      </w:r>
    </w:p>
    <w:p>
      <w:pPr>
        <w:spacing w:line="600" w:lineRule="exact"/>
        <w:ind w:firstLine="624" w:firstLineChars="200"/>
        <w:rPr>
          <w:color w:val="auto"/>
        </w:rPr>
      </w:pPr>
      <w:r>
        <w:rPr>
          <w:color w:val="auto"/>
        </w:rPr>
        <w:t>4．及时办结工程项目结算和决算编制审核业务。项目完工后，审计机关或第三方审计机构要及时跟进完工项目的结算、决算审计。对工程质量验收合格但尚未进行结算、决算审计的统筹整合项目，建设单位凭工程质量验收报告，可按工程款的80%申请拨款，竣工结算、决算审定后支付除质保金外的剩余资金。</w:t>
      </w:r>
    </w:p>
    <w:p>
      <w:pPr>
        <w:spacing w:line="600" w:lineRule="exact"/>
        <w:ind w:firstLine="624" w:firstLineChars="200"/>
        <w:rPr>
          <w:rFonts w:eastAsia="方正楷体_GBK"/>
          <w:color w:val="auto"/>
        </w:rPr>
      </w:pPr>
      <w:r>
        <w:rPr>
          <w:rFonts w:eastAsia="方正楷体_GBK"/>
          <w:color w:val="auto"/>
        </w:rPr>
        <w:t>（三）</w:t>
      </w:r>
      <w:r>
        <w:rPr>
          <w:rFonts w:hint="eastAsia" w:eastAsia="方正楷体_GBK"/>
          <w:color w:val="auto"/>
        </w:rPr>
        <w:t>组织</w:t>
      </w:r>
      <w:r>
        <w:rPr>
          <w:rFonts w:eastAsia="方正楷体_GBK"/>
          <w:color w:val="auto"/>
        </w:rPr>
        <w:t>保障措施</w:t>
      </w:r>
    </w:p>
    <w:p>
      <w:pPr>
        <w:spacing w:line="600" w:lineRule="exact"/>
        <w:ind w:firstLine="624" w:firstLineChars="200"/>
        <w:rPr>
          <w:color w:val="auto"/>
        </w:rPr>
      </w:pPr>
      <w:r>
        <w:rPr>
          <w:color w:val="auto"/>
        </w:rPr>
        <w:t>1．建立协调机制。县统筹整合</w:t>
      </w:r>
      <w:r>
        <w:rPr>
          <w:rFonts w:hint="eastAsia"/>
          <w:color w:val="auto"/>
        </w:rPr>
        <w:t>涉</w:t>
      </w:r>
      <w:r>
        <w:rPr>
          <w:color w:val="auto"/>
        </w:rPr>
        <w:t>农资金工作领导小组要适时召开推进会议通报项目实施进度，并采取有效措施，及时解决项目实施过程中遇到的各种困难和问题。各乡（镇）、街道也要相应成立财政涉农资金统筹整合领导小组和办公室，加快项目推进和资金拨付进度，切实加强统筹整合资金监管。</w:t>
      </w:r>
    </w:p>
    <w:p>
      <w:pPr>
        <w:spacing w:line="600" w:lineRule="exact"/>
        <w:ind w:firstLine="624" w:firstLineChars="200"/>
        <w:rPr>
          <w:color w:val="auto"/>
        </w:rPr>
      </w:pPr>
      <w:r>
        <w:rPr>
          <w:color w:val="auto"/>
        </w:rPr>
        <w:t>2．加强规划衔接。有关部门要按照</w:t>
      </w:r>
      <w:r>
        <w:rPr>
          <w:color w:val="auto"/>
          <w:szCs w:val="32"/>
        </w:rPr>
        <w:t>巩固拓展脱贫攻坚成果同乡村振兴有效衔接</w:t>
      </w:r>
      <w:r>
        <w:rPr>
          <w:color w:val="auto"/>
        </w:rPr>
        <w:t>规划要求及时调整完善有关专项规划，实现部门专项规划与</w:t>
      </w:r>
      <w:r>
        <w:rPr>
          <w:color w:val="auto"/>
          <w:szCs w:val="32"/>
        </w:rPr>
        <w:t>巩固拓展脱贫攻坚成果同乡村振兴有效衔接</w:t>
      </w:r>
      <w:r>
        <w:rPr>
          <w:color w:val="auto"/>
        </w:rPr>
        <w:t>。部门专项规划与</w:t>
      </w:r>
      <w:r>
        <w:rPr>
          <w:color w:val="auto"/>
          <w:szCs w:val="32"/>
        </w:rPr>
        <w:t>巩固拓展脱贫攻坚成果同乡村振兴有效衔接规划</w:t>
      </w:r>
      <w:r>
        <w:rPr>
          <w:color w:val="auto"/>
        </w:rPr>
        <w:t>不一致的，应以</w:t>
      </w:r>
      <w:r>
        <w:rPr>
          <w:color w:val="auto"/>
          <w:szCs w:val="32"/>
        </w:rPr>
        <w:t>巩固拓展脱贫攻坚成果同乡村振兴有效衔接</w:t>
      </w:r>
      <w:r>
        <w:rPr>
          <w:color w:val="auto"/>
        </w:rPr>
        <w:t>规划为准。</w:t>
      </w:r>
    </w:p>
    <w:p>
      <w:pPr>
        <w:spacing w:line="600" w:lineRule="exact"/>
        <w:ind w:firstLine="624" w:firstLineChars="200"/>
        <w:rPr>
          <w:color w:val="auto"/>
        </w:rPr>
      </w:pPr>
      <w:r>
        <w:rPr>
          <w:color w:val="auto"/>
        </w:rPr>
        <w:t>3．严格监督检查。县统筹整合</w:t>
      </w:r>
      <w:r>
        <w:rPr>
          <w:rFonts w:hint="eastAsia"/>
          <w:color w:val="auto"/>
        </w:rPr>
        <w:t>涉</w:t>
      </w:r>
      <w:r>
        <w:rPr>
          <w:color w:val="auto"/>
        </w:rPr>
        <w:t>农资金工作领导小组</w:t>
      </w:r>
      <w:r>
        <w:rPr>
          <w:rFonts w:hint="eastAsia"/>
          <w:color w:val="auto"/>
        </w:rPr>
        <w:t>办公室</w:t>
      </w:r>
      <w:r>
        <w:rPr>
          <w:color w:val="auto"/>
        </w:rPr>
        <w:t>在政府门户网站和主要媒体公开统筹整合使用的涉农资金来源、用途和项目建设情况等，接受社会监督。对项目推进不力，未按规定时间节点完成任务，影响全县</w:t>
      </w:r>
      <w:r>
        <w:rPr>
          <w:color w:val="auto"/>
          <w:szCs w:val="32"/>
        </w:rPr>
        <w:t>巩固拓展脱贫攻坚成果同乡村振兴有效衔接</w:t>
      </w:r>
      <w:r>
        <w:rPr>
          <w:color w:val="auto"/>
        </w:rPr>
        <w:t>的，将依据有关规定严肃追责。</w:t>
      </w:r>
    </w:p>
    <w:p>
      <w:pPr>
        <w:spacing w:line="600" w:lineRule="exact"/>
        <w:ind w:firstLine="624" w:firstLineChars="200"/>
        <w:rPr>
          <w:color w:val="auto"/>
        </w:rPr>
      </w:pPr>
      <w:r>
        <w:rPr>
          <w:color w:val="auto"/>
        </w:rPr>
        <w:t>4．加强绩效考评。县人民政府将对资金统筹整合使用情况进行绩效评价，建立以</w:t>
      </w:r>
      <w:r>
        <w:rPr>
          <w:color w:val="auto"/>
          <w:szCs w:val="32"/>
        </w:rPr>
        <w:t>巩固拓展脱贫攻坚成果同乡村振兴有效衔接</w:t>
      </w:r>
      <w:r>
        <w:rPr>
          <w:color w:val="auto"/>
        </w:rPr>
        <w:t>为导向，以资金规范使用为重点的绩效考评体系，设置考评指标，规范考评程序，充分发挥绩效考评的激励导向作用。考核结果以</w:t>
      </w:r>
      <w:r>
        <w:rPr>
          <w:rFonts w:hint="eastAsia"/>
          <w:color w:val="auto"/>
        </w:rPr>
        <w:t>县巩固脱贫推进乡村振兴</w:t>
      </w:r>
      <w:r>
        <w:rPr>
          <w:color w:val="auto"/>
        </w:rPr>
        <w:t>领导小组文件予以通报。</w:t>
      </w:r>
    </w:p>
    <w:p>
      <w:pPr>
        <w:spacing w:line="600" w:lineRule="exact"/>
        <w:ind w:firstLine="624" w:firstLineChars="200"/>
        <w:rPr>
          <w:color w:val="auto"/>
        </w:rPr>
      </w:pPr>
      <w:r>
        <w:rPr>
          <w:color w:val="auto"/>
        </w:rPr>
        <w:t>本方案可根据当年统筹整合资金的到位情况、项目实施情况及其他有关内容编制补充方案进行调整。</w:t>
      </w:r>
    </w:p>
    <w:p>
      <w:pPr>
        <w:spacing w:line="600" w:lineRule="exact"/>
        <w:ind w:firstLine="624" w:firstLineChars="200"/>
        <w:rPr>
          <w:color w:val="auto"/>
        </w:rPr>
      </w:pPr>
    </w:p>
    <w:p>
      <w:pPr>
        <w:spacing w:line="600" w:lineRule="exact"/>
        <w:ind w:firstLine="624" w:firstLineChars="200"/>
        <w:rPr>
          <w:color w:val="auto"/>
        </w:rPr>
      </w:pPr>
    </w:p>
    <w:p>
      <w:pPr>
        <w:spacing w:line="600" w:lineRule="exact"/>
        <w:ind w:firstLine="624" w:firstLineChars="200"/>
        <w:rPr>
          <w:color w:val="auto"/>
        </w:rPr>
      </w:pPr>
      <w:r>
        <w:rPr>
          <w:color w:val="auto"/>
        </w:rPr>
        <w:t>附件：1．富源县财政涉农资金整合方案基本情况表</w:t>
      </w:r>
    </w:p>
    <w:p>
      <w:pPr>
        <w:spacing w:line="600" w:lineRule="exact"/>
        <w:ind w:firstLine="624" w:firstLineChars="200"/>
        <w:rPr>
          <w:color w:val="auto"/>
        </w:rPr>
      </w:pPr>
      <w:r>
        <w:rPr>
          <w:color w:val="auto"/>
        </w:rPr>
        <w:t xml:space="preserve">      2．富源县统筹整合财政涉农资金来源情况表</w:t>
      </w:r>
    </w:p>
    <w:p>
      <w:pPr>
        <w:spacing w:line="600" w:lineRule="exact"/>
        <w:ind w:firstLine="1560" w:firstLineChars="500"/>
        <w:rPr>
          <w:color w:val="auto"/>
        </w:rPr>
      </w:pPr>
      <w:r>
        <w:rPr>
          <w:color w:val="auto"/>
        </w:rPr>
        <w:t>3．富源县统筹整合财政涉农资金项目表</w:t>
      </w:r>
    </w:p>
    <w:p>
      <w:pPr>
        <w:spacing w:line="600" w:lineRule="exact"/>
        <w:ind w:firstLine="1560" w:firstLineChars="500"/>
        <w:rPr>
          <w:rFonts w:hint="eastAsia" w:eastAsia="方正仿宋_GBK"/>
          <w:color w:val="auto"/>
          <w:lang w:val="en-US" w:eastAsia="zh-CN"/>
        </w:rPr>
      </w:pPr>
      <w:r>
        <w:rPr>
          <w:color w:val="auto"/>
        </w:rPr>
        <w:t>4．富源县整合方案项目类型投入情况统计</w:t>
      </w:r>
      <w:r>
        <w:rPr>
          <w:rFonts w:hint="eastAsia"/>
          <w:color w:val="auto"/>
          <w:lang w:val="en-US" w:eastAsia="zh-CN"/>
        </w:rPr>
        <w:t>表</w:t>
      </w:r>
    </w:p>
    <w:sectPr>
      <w:footerReference r:id="rId5" w:type="first"/>
      <w:footerReference r:id="rId3" w:type="default"/>
      <w:footerReference r:id="rId4" w:type="even"/>
      <w:pgSz w:w="11906" w:h="16838"/>
      <w:pgMar w:top="1871" w:right="1587" w:bottom="1757" w:left="1587" w:header="851" w:footer="1134" w:gutter="0"/>
      <w:cols w:space="0" w:num="1"/>
      <w:titlePg/>
      <w:docGrid w:type="linesAndChars" w:linePitch="600"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rPr>
      <w:t>5</w:t>
    </w:r>
    <w:r>
      <w:rPr>
        <w:sz w:val="28"/>
      </w:rPr>
      <w:fldChar w:fldCharType="end"/>
    </w:r>
    <w:r>
      <w:rPr>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80" w:firstLineChars="100"/>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7280" w:firstLineChars="2600"/>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rPr>
      <w:t>1</w:t>
    </w:r>
    <w:r>
      <w:rPr>
        <w:sz w:val="28"/>
      </w:rPr>
      <w:fldChar w:fldCharType="end"/>
    </w:r>
    <w:r>
      <w:rPr>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C66B2B"/>
    <w:multiLevelType w:val="multilevel"/>
    <w:tmpl w:val="49C66B2B"/>
    <w:lvl w:ilvl="0" w:tentative="0">
      <w:start w:val="1"/>
      <w:numFmt w:val="japaneseCounting"/>
      <w:lvlText w:val="（%1）"/>
      <w:lvlJc w:val="left"/>
      <w:pPr>
        <w:ind w:left="1569" w:hanging="945"/>
      </w:pPr>
      <w:rPr>
        <w:rFonts w:hint="default"/>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evenAndOddHeaders w:val="1"/>
  <w:drawingGridHorizontalSpacing w:val="156"/>
  <w:drawingGridVerticalSpacing w:val="31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hiYmYzNDk3ZGI0NWU3NjgyMDg0MDE2YjYxYTYxNDAifQ=="/>
  </w:docVars>
  <w:rsids>
    <w:rsidRoot w:val="005B0839"/>
    <w:rsid w:val="000018FB"/>
    <w:rsid w:val="00010836"/>
    <w:rsid w:val="000116A5"/>
    <w:rsid w:val="00011E18"/>
    <w:rsid w:val="00012D8C"/>
    <w:rsid w:val="000140A5"/>
    <w:rsid w:val="00014BA5"/>
    <w:rsid w:val="0003604A"/>
    <w:rsid w:val="00041C85"/>
    <w:rsid w:val="00042835"/>
    <w:rsid w:val="00050628"/>
    <w:rsid w:val="000506E4"/>
    <w:rsid w:val="0005154B"/>
    <w:rsid w:val="00055424"/>
    <w:rsid w:val="00056281"/>
    <w:rsid w:val="00061B43"/>
    <w:rsid w:val="00066A98"/>
    <w:rsid w:val="00082993"/>
    <w:rsid w:val="000846AF"/>
    <w:rsid w:val="00085733"/>
    <w:rsid w:val="00091704"/>
    <w:rsid w:val="000B010D"/>
    <w:rsid w:val="000C586E"/>
    <w:rsid w:val="000C5F35"/>
    <w:rsid w:val="000C7D14"/>
    <w:rsid w:val="000D0A75"/>
    <w:rsid w:val="000D23B4"/>
    <w:rsid w:val="000D739F"/>
    <w:rsid w:val="000E2D34"/>
    <w:rsid w:val="000E4696"/>
    <w:rsid w:val="000F0161"/>
    <w:rsid w:val="000F1C95"/>
    <w:rsid w:val="000F444D"/>
    <w:rsid w:val="001012A3"/>
    <w:rsid w:val="0010272D"/>
    <w:rsid w:val="00104A91"/>
    <w:rsid w:val="00110ECA"/>
    <w:rsid w:val="00115C62"/>
    <w:rsid w:val="0011675D"/>
    <w:rsid w:val="00142D6F"/>
    <w:rsid w:val="001435DF"/>
    <w:rsid w:val="00144ECA"/>
    <w:rsid w:val="001552C6"/>
    <w:rsid w:val="00155B41"/>
    <w:rsid w:val="00162818"/>
    <w:rsid w:val="0016308C"/>
    <w:rsid w:val="0016727A"/>
    <w:rsid w:val="00181A75"/>
    <w:rsid w:val="00182837"/>
    <w:rsid w:val="00197E5A"/>
    <w:rsid w:val="001A101E"/>
    <w:rsid w:val="001A3324"/>
    <w:rsid w:val="001A5698"/>
    <w:rsid w:val="001A6B14"/>
    <w:rsid w:val="001A6E67"/>
    <w:rsid w:val="001B13A1"/>
    <w:rsid w:val="001B4000"/>
    <w:rsid w:val="001D2105"/>
    <w:rsid w:val="001D330B"/>
    <w:rsid w:val="001D3B45"/>
    <w:rsid w:val="001D3BCB"/>
    <w:rsid w:val="001D5233"/>
    <w:rsid w:val="001F1439"/>
    <w:rsid w:val="001F26A3"/>
    <w:rsid w:val="001F59DD"/>
    <w:rsid w:val="001F7CCC"/>
    <w:rsid w:val="00201144"/>
    <w:rsid w:val="00203BF6"/>
    <w:rsid w:val="002179DD"/>
    <w:rsid w:val="002243DB"/>
    <w:rsid w:val="00232746"/>
    <w:rsid w:val="00236F68"/>
    <w:rsid w:val="0023728B"/>
    <w:rsid w:val="002559B9"/>
    <w:rsid w:val="00257256"/>
    <w:rsid w:val="00261C77"/>
    <w:rsid w:val="002636BD"/>
    <w:rsid w:val="00274491"/>
    <w:rsid w:val="00274DCF"/>
    <w:rsid w:val="0027627A"/>
    <w:rsid w:val="002800C2"/>
    <w:rsid w:val="00285190"/>
    <w:rsid w:val="00285C9B"/>
    <w:rsid w:val="00292DC9"/>
    <w:rsid w:val="002958AD"/>
    <w:rsid w:val="0029670B"/>
    <w:rsid w:val="002A0269"/>
    <w:rsid w:val="002B22B7"/>
    <w:rsid w:val="002B517C"/>
    <w:rsid w:val="002D4D33"/>
    <w:rsid w:val="002E28D5"/>
    <w:rsid w:val="002E6E5B"/>
    <w:rsid w:val="002F0514"/>
    <w:rsid w:val="002F09ED"/>
    <w:rsid w:val="002F34D9"/>
    <w:rsid w:val="002F3D19"/>
    <w:rsid w:val="0030563A"/>
    <w:rsid w:val="00306E49"/>
    <w:rsid w:val="00307971"/>
    <w:rsid w:val="00312999"/>
    <w:rsid w:val="00321B07"/>
    <w:rsid w:val="0032248C"/>
    <w:rsid w:val="00323EA3"/>
    <w:rsid w:val="003326F6"/>
    <w:rsid w:val="00335744"/>
    <w:rsid w:val="003360EE"/>
    <w:rsid w:val="00341ECF"/>
    <w:rsid w:val="0035005E"/>
    <w:rsid w:val="0035689A"/>
    <w:rsid w:val="0036225A"/>
    <w:rsid w:val="00362D9C"/>
    <w:rsid w:val="0037464F"/>
    <w:rsid w:val="00384B1E"/>
    <w:rsid w:val="00393BE8"/>
    <w:rsid w:val="00396C0C"/>
    <w:rsid w:val="003A0509"/>
    <w:rsid w:val="003A3574"/>
    <w:rsid w:val="003C0590"/>
    <w:rsid w:val="003C1A22"/>
    <w:rsid w:val="003C24EF"/>
    <w:rsid w:val="003C652D"/>
    <w:rsid w:val="003D0EA2"/>
    <w:rsid w:val="003D12B8"/>
    <w:rsid w:val="003D3D5B"/>
    <w:rsid w:val="003E6EE0"/>
    <w:rsid w:val="003F18CD"/>
    <w:rsid w:val="003F3387"/>
    <w:rsid w:val="003F6742"/>
    <w:rsid w:val="00403055"/>
    <w:rsid w:val="004078DE"/>
    <w:rsid w:val="00407EE9"/>
    <w:rsid w:val="00417681"/>
    <w:rsid w:val="00423A9C"/>
    <w:rsid w:val="00424EE0"/>
    <w:rsid w:val="004250A8"/>
    <w:rsid w:val="004310F9"/>
    <w:rsid w:val="00445029"/>
    <w:rsid w:val="00445617"/>
    <w:rsid w:val="00456583"/>
    <w:rsid w:val="00462703"/>
    <w:rsid w:val="004654FA"/>
    <w:rsid w:val="00471B42"/>
    <w:rsid w:val="004845B1"/>
    <w:rsid w:val="0049527A"/>
    <w:rsid w:val="004A1C3E"/>
    <w:rsid w:val="004A2051"/>
    <w:rsid w:val="004A6771"/>
    <w:rsid w:val="004B3E4E"/>
    <w:rsid w:val="004D070D"/>
    <w:rsid w:val="004D22B5"/>
    <w:rsid w:val="004E2A7E"/>
    <w:rsid w:val="004F3947"/>
    <w:rsid w:val="004F7868"/>
    <w:rsid w:val="00500DF1"/>
    <w:rsid w:val="005069F4"/>
    <w:rsid w:val="00506F6F"/>
    <w:rsid w:val="00510457"/>
    <w:rsid w:val="00512DD4"/>
    <w:rsid w:val="005166C4"/>
    <w:rsid w:val="00517A94"/>
    <w:rsid w:val="00523E69"/>
    <w:rsid w:val="005248CA"/>
    <w:rsid w:val="005341C0"/>
    <w:rsid w:val="00536EA2"/>
    <w:rsid w:val="005379ED"/>
    <w:rsid w:val="00541AF3"/>
    <w:rsid w:val="00546298"/>
    <w:rsid w:val="00552CB5"/>
    <w:rsid w:val="005607B7"/>
    <w:rsid w:val="00560FE1"/>
    <w:rsid w:val="00563872"/>
    <w:rsid w:val="0056514F"/>
    <w:rsid w:val="00565161"/>
    <w:rsid w:val="005723DA"/>
    <w:rsid w:val="005760E1"/>
    <w:rsid w:val="00576D59"/>
    <w:rsid w:val="00585C39"/>
    <w:rsid w:val="00585E79"/>
    <w:rsid w:val="00590BC3"/>
    <w:rsid w:val="00591315"/>
    <w:rsid w:val="0059233B"/>
    <w:rsid w:val="0059259E"/>
    <w:rsid w:val="005951D0"/>
    <w:rsid w:val="005A7C36"/>
    <w:rsid w:val="005B0839"/>
    <w:rsid w:val="005C5435"/>
    <w:rsid w:val="005D7240"/>
    <w:rsid w:val="005F08B7"/>
    <w:rsid w:val="005F1AAF"/>
    <w:rsid w:val="005F1E8F"/>
    <w:rsid w:val="005F37E0"/>
    <w:rsid w:val="00610A65"/>
    <w:rsid w:val="00633D7F"/>
    <w:rsid w:val="00636ACB"/>
    <w:rsid w:val="00646962"/>
    <w:rsid w:val="00652348"/>
    <w:rsid w:val="006657B0"/>
    <w:rsid w:val="0067273D"/>
    <w:rsid w:val="00674D27"/>
    <w:rsid w:val="0067690C"/>
    <w:rsid w:val="00682976"/>
    <w:rsid w:val="0068302B"/>
    <w:rsid w:val="006943C8"/>
    <w:rsid w:val="00695A96"/>
    <w:rsid w:val="006A35CA"/>
    <w:rsid w:val="006A646C"/>
    <w:rsid w:val="006A7CB7"/>
    <w:rsid w:val="006B15CC"/>
    <w:rsid w:val="006B1B27"/>
    <w:rsid w:val="006B7118"/>
    <w:rsid w:val="006D2DB9"/>
    <w:rsid w:val="006D6263"/>
    <w:rsid w:val="006E0F52"/>
    <w:rsid w:val="006E1F8C"/>
    <w:rsid w:val="006E29A3"/>
    <w:rsid w:val="006E5CB9"/>
    <w:rsid w:val="006E5F25"/>
    <w:rsid w:val="006E6A30"/>
    <w:rsid w:val="006F0276"/>
    <w:rsid w:val="006F42B1"/>
    <w:rsid w:val="006F6410"/>
    <w:rsid w:val="0070427C"/>
    <w:rsid w:val="00711DAD"/>
    <w:rsid w:val="0071528D"/>
    <w:rsid w:val="00722E16"/>
    <w:rsid w:val="00724B2D"/>
    <w:rsid w:val="00732FDF"/>
    <w:rsid w:val="0074553A"/>
    <w:rsid w:val="007523E1"/>
    <w:rsid w:val="00761FB0"/>
    <w:rsid w:val="007679CA"/>
    <w:rsid w:val="00777444"/>
    <w:rsid w:val="00790004"/>
    <w:rsid w:val="007A25D0"/>
    <w:rsid w:val="007A7B86"/>
    <w:rsid w:val="007C21BE"/>
    <w:rsid w:val="007C2796"/>
    <w:rsid w:val="007C7EA2"/>
    <w:rsid w:val="007D0DC1"/>
    <w:rsid w:val="007E44FB"/>
    <w:rsid w:val="007E4D25"/>
    <w:rsid w:val="007E5D67"/>
    <w:rsid w:val="007F01CA"/>
    <w:rsid w:val="007F464E"/>
    <w:rsid w:val="007F55F8"/>
    <w:rsid w:val="007F6129"/>
    <w:rsid w:val="00801345"/>
    <w:rsid w:val="008027ED"/>
    <w:rsid w:val="00817B16"/>
    <w:rsid w:val="0082066C"/>
    <w:rsid w:val="008207E5"/>
    <w:rsid w:val="00826359"/>
    <w:rsid w:val="00826955"/>
    <w:rsid w:val="00855B7E"/>
    <w:rsid w:val="008627AD"/>
    <w:rsid w:val="00865F09"/>
    <w:rsid w:val="00870E7B"/>
    <w:rsid w:val="008763DF"/>
    <w:rsid w:val="0088710A"/>
    <w:rsid w:val="00892423"/>
    <w:rsid w:val="008A407D"/>
    <w:rsid w:val="008A51B1"/>
    <w:rsid w:val="008A6D55"/>
    <w:rsid w:val="008B220A"/>
    <w:rsid w:val="008B2751"/>
    <w:rsid w:val="008D71F6"/>
    <w:rsid w:val="008D7E18"/>
    <w:rsid w:val="008D7F66"/>
    <w:rsid w:val="008E20B3"/>
    <w:rsid w:val="008E4756"/>
    <w:rsid w:val="008F4C31"/>
    <w:rsid w:val="00901B38"/>
    <w:rsid w:val="00901F13"/>
    <w:rsid w:val="009121DB"/>
    <w:rsid w:val="00922D13"/>
    <w:rsid w:val="0093544A"/>
    <w:rsid w:val="0095405F"/>
    <w:rsid w:val="009559D5"/>
    <w:rsid w:val="00957F91"/>
    <w:rsid w:val="0096289F"/>
    <w:rsid w:val="00963020"/>
    <w:rsid w:val="0096351E"/>
    <w:rsid w:val="0098720D"/>
    <w:rsid w:val="009919FB"/>
    <w:rsid w:val="009936D8"/>
    <w:rsid w:val="00995301"/>
    <w:rsid w:val="009A090A"/>
    <w:rsid w:val="009A6FF2"/>
    <w:rsid w:val="009A758D"/>
    <w:rsid w:val="009B4206"/>
    <w:rsid w:val="009B57CE"/>
    <w:rsid w:val="009C0ECB"/>
    <w:rsid w:val="009C1B96"/>
    <w:rsid w:val="009C3C4A"/>
    <w:rsid w:val="009C591E"/>
    <w:rsid w:val="009C5FDB"/>
    <w:rsid w:val="009D4047"/>
    <w:rsid w:val="009E255A"/>
    <w:rsid w:val="009E2C55"/>
    <w:rsid w:val="009E7CC4"/>
    <w:rsid w:val="009F7793"/>
    <w:rsid w:val="00A065AE"/>
    <w:rsid w:val="00A07637"/>
    <w:rsid w:val="00A103A4"/>
    <w:rsid w:val="00A11C36"/>
    <w:rsid w:val="00A12626"/>
    <w:rsid w:val="00A1466F"/>
    <w:rsid w:val="00A245B9"/>
    <w:rsid w:val="00A25132"/>
    <w:rsid w:val="00A316C4"/>
    <w:rsid w:val="00A329C8"/>
    <w:rsid w:val="00A3345B"/>
    <w:rsid w:val="00A35AAA"/>
    <w:rsid w:val="00A35D90"/>
    <w:rsid w:val="00A47430"/>
    <w:rsid w:val="00A50AE9"/>
    <w:rsid w:val="00A619F1"/>
    <w:rsid w:val="00A71C8C"/>
    <w:rsid w:val="00A7253D"/>
    <w:rsid w:val="00A74B96"/>
    <w:rsid w:val="00A818BA"/>
    <w:rsid w:val="00A83619"/>
    <w:rsid w:val="00A86112"/>
    <w:rsid w:val="00AA2453"/>
    <w:rsid w:val="00AA2535"/>
    <w:rsid w:val="00AA3620"/>
    <w:rsid w:val="00AA52D2"/>
    <w:rsid w:val="00AB27AE"/>
    <w:rsid w:val="00AB7430"/>
    <w:rsid w:val="00AC0683"/>
    <w:rsid w:val="00AC6887"/>
    <w:rsid w:val="00AD1FEC"/>
    <w:rsid w:val="00AD74E6"/>
    <w:rsid w:val="00AE4543"/>
    <w:rsid w:val="00AE6E71"/>
    <w:rsid w:val="00AE705B"/>
    <w:rsid w:val="00AF329A"/>
    <w:rsid w:val="00AF344C"/>
    <w:rsid w:val="00B1068E"/>
    <w:rsid w:val="00B10953"/>
    <w:rsid w:val="00B12F74"/>
    <w:rsid w:val="00B21CEE"/>
    <w:rsid w:val="00B23E51"/>
    <w:rsid w:val="00B25AF8"/>
    <w:rsid w:val="00B274BD"/>
    <w:rsid w:val="00B33A37"/>
    <w:rsid w:val="00B358D6"/>
    <w:rsid w:val="00B404E1"/>
    <w:rsid w:val="00B44F73"/>
    <w:rsid w:val="00B5656D"/>
    <w:rsid w:val="00B74422"/>
    <w:rsid w:val="00B75A17"/>
    <w:rsid w:val="00B8020B"/>
    <w:rsid w:val="00BA0453"/>
    <w:rsid w:val="00BA1028"/>
    <w:rsid w:val="00BB16E6"/>
    <w:rsid w:val="00BC20DC"/>
    <w:rsid w:val="00BC7A1F"/>
    <w:rsid w:val="00BE3D14"/>
    <w:rsid w:val="00BE527F"/>
    <w:rsid w:val="00BE78BE"/>
    <w:rsid w:val="00BF3FD5"/>
    <w:rsid w:val="00C020B6"/>
    <w:rsid w:val="00C0361D"/>
    <w:rsid w:val="00C15C91"/>
    <w:rsid w:val="00C27E3F"/>
    <w:rsid w:val="00C35759"/>
    <w:rsid w:val="00C50A0D"/>
    <w:rsid w:val="00C50F47"/>
    <w:rsid w:val="00C56777"/>
    <w:rsid w:val="00C64628"/>
    <w:rsid w:val="00C66ABA"/>
    <w:rsid w:val="00C66B11"/>
    <w:rsid w:val="00C806AE"/>
    <w:rsid w:val="00C80E96"/>
    <w:rsid w:val="00C8531B"/>
    <w:rsid w:val="00C85D2D"/>
    <w:rsid w:val="00C92DDF"/>
    <w:rsid w:val="00C93844"/>
    <w:rsid w:val="00C93934"/>
    <w:rsid w:val="00C97706"/>
    <w:rsid w:val="00CA0784"/>
    <w:rsid w:val="00CA2416"/>
    <w:rsid w:val="00CC4A4F"/>
    <w:rsid w:val="00CC65A8"/>
    <w:rsid w:val="00CC7AB8"/>
    <w:rsid w:val="00CD099F"/>
    <w:rsid w:val="00CE2A63"/>
    <w:rsid w:val="00CE5442"/>
    <w:rsid w:val="00CE5F00"/>
    <w:rsid w:val="00D12A4A"/>
    <w:rsid w:val="00D241FA"/>
    <w:rsid w:val="00D24CF9"/>
    <w:rsid w:val="00D26F89"/>
    <w:rsid w:val="00D30CA2"/>
    <w:rsid w:val="00D46FFD"/>
    <w:rsid w:val="00D7064F"/>
    <w:rsid w:val="00D72EF8"/>
    <w:rsid w:val="00D75E39"/>
    <w:rsid w:val="00D81317"/>
    <w:rsid w:val="00D91F9D"/>
    <w:rsid w:val="00D92D59"/>
    <w:rsid w:val="00D92E53"/>
    <w:rsid w:val="00D93B2E"/>
    <w:rsid w:val="00DB0C25"/>
    <w:rsid w:val="00DB3BA7"/>
    <w:rsid w:val="00DC15EB"/>
    <w:rsid w:val="00DC21F1"/>
    <w:rsid w:val="00DD3BAB"/>
    <w:rsid w:val="00DD6113"/>
    <w:rsid w:val="00DE242F"/>
    <w:rsid w:val="00DE3C14"/>
    <w:rsid w:val="00DF175F"/>
    <w:rsid w:val="00DF39BC"/>
    <w:rsid w:val="00E01A0B"/>
    <w:rsid w:val="00E03865"/>
    <w:rsid w:val="00E132FD"/>
    <w:rsid w:val="00E14A25"/>
    <w:rsid w:val="00E24156"/>
    <w:rsid w:val="00E245B9"/>
    <w:rsid w:val="00E408E7"/>
    <w:rsid w:val="00E503E5"/>
    <w:rsid w:val="00E51460"/>
    <w:rsid w:val="00E532F8"/>
    <w:rsid w:val="00E54CDE"/>
    <w:rsid w:val="00E63B05"/>
    <w:rsid w:val="00E66D57"/>
    <w:rsid w:val="00E724BC"/>
    <w:rsid w:val="00E73919"/>
    <w:rsid w:val="00E73E67"/>
    <w:rsid w:val="00E75574"/>
    <w:rsid w:val="00E908F9"/>
    <w:rsid w:val="00E96F66"/>
    <w:rsid w:val="00EA3C3C"/>
    <w:rsid w:val="00EB01B6"/>
    <w:rsid w:val="00ED5EE3"/>
    <w:rsid w:val="00EF7339"/>
    <w:rsid w:val="00F045ED"/>
    <w:rsid w:val="00F05189"/>
    <w:rsid w:val="00F12B2C"/>
    <w:rsid w:val="00F279DD"/>
    <w:rsid w:val="00F3328D"/>
    <w:rsid w:val="00F44D76"/>
    <w:rsid w:val="00F60C95"/>
    <w:rsid w:val="00F62B09"/>
    <w:rsid w:val="00F65267"/>
    <w:rsid w:val="00F70110"/>
    <w:rsid w:val="00F70F63"/>
    <w:rsid w:val="00F71890"/>
    <w:rsid w:val="00F718C0"/>
    <w:rsid w:val="00F727A9"/>
    <w:rsid w:val="00F73BD6"/>
    <w:rsid w:val="00F965C0"/>
    <w:rsid w:val="00FA5D60"/>
    <w:rsid w:val="00FB3358"/>
    <w:rsid w:val="00FB3905"/>
    <w:rsid w:val="00FB7DB7"/>
    <w:rsid w:val="00FC05EF"/>
    <w:rsid w:val="00FC37BE"/>
    <w:rsid w:val="00FC4D19"/>
    <w:rsid w:val="00FC52E6"/>
    <w:rsid w:val="00FC6223"/>
    <w:rsid w:val="00FC7A7C"/>
    <w:rsid w:val="00FD4EDC"/>
    <w:rsid w:val="00FD56FB"/>
    <w:rsid w:val="00FD654A"/>
    <w:rsid w:val="00FD6F6C"/>
    <w:rsid w:val="00FF09E0"/>
    <w:rsid w:val="00FF68ED"/>
    <w:rsid w:val="00FF755D"/>
    <w:rsid w:val="01AC1ED9"/>
    <w:rsid w:val="02376D53"/>
    <w:rsid w:val="023C5515"/>
    <w:rsid w:val="0263717E"/>
    <w:rsid w:val="036C61C5"/>
    <w:rsid w:val="038627BA"/>
    <w:rsid w:val="074737E6"/>
    <w:rsid w:val="0D015783"/>
    <w:rsid w:val="0DE97122"/>
    <w:rsid w:val="0DFD63A8"/>
    <w:rsid w:val="0F4132C8"/>
    <w:rsid w:val="0F7D6E99"/>
    <w:rsid w:val="10714FDC"/>
    <w:rsid w:val="1184649D"/>
    <w:rsid w:val="124355B4"/>
    <w:rsid w:val="12ED68E2"/>
    <w:rsid w:val="143D1796"/>
    <w:rsid w:val="15F15C55"/>
    <w:rsid w:val="16560E68"/>
    <w:rsid w:val="19F73008"/>
    <w:rsid w:val="1A69235C"/>
    <w:rsid w:val="1AB5434C"/>
    <w:rsid w:val="1B50602A"/>
    <w:rsid w:val="1B51743E"/>
    <w:rsid w:val="1C16052A"/>
    <w:rsid w:val="1D3630DF"/>
    <w:rsid w:val="1E0278E6"/>
    <w:rsid w:val="1E926F58"/>
    <w:rsid w:val="204C4B14"/>
    <w:rsid w:val="205478AB"/>
    <w:rsid w:val="20684C12"/>
    <w:rsid w:val="21C029F0"/>
    <w:rsid w:val="21E85BC3"/>
    <w:rsid w:val="21FF5CB5"/>
    <w:rsid w:val="2218692F"/>
    <w:rsid w:val="224B72BB"/>
    <w:rsid w:val="224D07D8"/>
    <w:rsid w:val="2362014B"/>
    <w:rsid w:val="237C5E5D"/>
    <w:rsid w:val="24144A88"/>
    <w:rsid w:val="2478260A"/>
    <w:rsid w:val="25424857"/>
    <w:rsid w:val="26750A1D"/>
    <w:rsid w:val="26B00625"/>
    <w:rsid w:val="27736E55"/>
    <w:rsid w:val="28F30F1A"/>
    <w:rsid w:val="29927C17"/>
    <w:rsid w:val="2AE60695"/>
    <w:rsid w:val="2B0E55FE"/>
    <w:rsid w:val="2C3A66D1"/>
    <w:rsid w:val="2C3B5FB1"/>
    <w:rsid w:val="2C5A3AF6"/>
    <w:rsid w:val="2C9F7E9D"/>
    <w:rsid w:val="2CCB7508"/>
    <w:rsid w:val="2CF36A53"/>
    <w:rsid w:val="2D624A83"/>
    <w:rsid w:val="2DFD3384"/>
    <w:rsid w:val="2E640E0F"/>
    <w:rsid w:val="308A3298"/>
    <w:rsid w:val="31377732"/>
    <w:rsid w:val="32C34F75"/>
    <w:rsid w:val="336E3421"/>
    <w:rsid w:val="33AC56F1"/>
    <w:rsid w:val="33D43A8B"/>
    <w:rsid w:val="35456E46"/>
    <w:rsid w:val="35815E4B"/>
    <w:rsid w:val="365D1790"/>
    <w:rsid w:val="37152892"/>
    <w:rsid w:val="371C1F46"/>
    <w:rsid w:val="378522F8"/>
    <w:rsid w:val="38B13744"/>
    <w:rsid w:val="39F80879"/>
    <w:rsid w:val="3CA52A45"/>
    <w:rsid w:val="3CEB3E49"/>
    <w:rsid w:val="3CFC57F1"/>
    <w:rsid w:val="3D4514D7"/>
    <w:rsid w:val="3D4D472D"/>
    <w:rsid w:val="3D721841"/>
    <w:rsid w:val="3FA6145E"/>
    <w:rsid w:val="403A2948"/>
    <w:rsid w:val="40713A01"/>
    <w:rsid w:val="412E57BE"/>
    <w:rsid w:val="412F38C5"/>
    <w:rsid w:val="41AF07B9"/>
    <w:rsid w:val="42DD47FE"/>
    <w:rsid w:val="433028F7"/>
    <w:rsid w:val="43841890"/>
    <w:rsid w:val="43921B9C"/>
    <w:rsid w:val="44E1635F"/>
    <w:rsid w:val="44EB6248"/>
    <w:rsid w:val="45C41996"/>
    <w:rsid w:val="45F238DF"/>
    <w:rsid w:val="47191B12"/>
    <w:rsid w:val="472E432F"/>
    <w:rsid w:val="479108FC"/>
    <w:rsid w:val="47AC0C4A"/>
    <w:rsid w:val="47E17F7A"/>
    <w:rsid w:val="48165595"/>
    <w:rsid w:val="49096040"/>
    <w:rsid w:val="49096783"/>
    <w:rsid w:val="49F018FB"/>
    <w:rsid w:val="4AA87002"/>
    <w:rsid w:val="4AF21EA2"/>
    <w:rsid w:val="4B9A2A28"/>
    <w:rsid w:val="4C185D1D"/>
    <w:rsid w:val="4CB4667C"/>
    <w:rsid w:val="4DF673BD"/>
    <w:rsid w:val="4F8C20D6"/>
    <w:rsid w:val="51217F6E"/>
    <w:rsid w:val="51CC5A02"/>
    <w:rsid w:val="520364C4"/>
    <w:rsid w:val="535C22BD"/>
    <w:rsid w:val="53B11D21"/>
    <w:rsid w:val="53C87B2A"/>
    <w:rsid w:val="53EC1BE9"/>
    <w:rsid w:val="543D3CAE"/>
    <w:rsid w:val="54C05D49"/>
    <w:rsid w:val="54F150A8"/>
    <w:rsid w:val="555F0207"/>
    <w:rsid w:val="558C4508"/>
    <w:rsid w:val="55977FDF"/>
    <w:rsid w:val="577B52EC"/>
    <w:rsid w:val="57FC3001"/>
    <w:rsid w:val="58AE458B"/>
    <w:rsid w:val="58DD3912"/>
    <w:rsid w:val="58EF3DD1"/>
    <w:rsid w:val="5992342D"/>
    <w:rsid w:val="5A2973C5"/>
    <w:rsid w:val="5AD15141"/>
    <w:rsid w:val="5E131DCE"/>
    <w:rsid w:val="5E3305F8"/>
    <w:rsid w:val="5E42761D"/>
    <w:rsid w:val="5F21200A"/>
    <w:rsid w:val="5FC03B8B"/>
    <w:rsid w:val="5FCA1766"/>
    <w:rsid w:val="60114A59"/>
    <w:rsid w:val="60764A34"/>
    <w:rsid w:val="630068DD"/>
    <w:rsid w:val="63227EC5"/>
    <w:rsid w:val="63684011"/>
    <w:rsid w:val="6380486B"/>
    <w:rsid w:val="64934D56"/>
    <w:rsid w:val="64F0781E"/>
    <w:rsid w:val="652A25B9"/>
    <w:rsid w:val="66025F8D"/>
    <w:rsid w:val="66AF2852"/>
    <w:rsid w:val="66C6729C"/>
    <w:rsid w:val="66CE69D7"/>
    <w:rsid w:val="671541D5"/>
    <w:rsid w:val="67DD61F4"/>
    <w:rsid w:val="682B6859"/>
    <w:rsid w:val="68575B9B"/>
    <w:rsid w:val="68916C39"/>
    <w:rsid w:val="68E5427A"/>
    <w:rsid w:val="6AE440CB"/>
    <w:rsid w:val="6B1219D7"/>
    <w:rsid w:val="6C2A27E0"/>
    <w:rsid w:val="6D26577E"/>
    <w:rsid w:val="6D934C9D"/>
    <w:rsid w:val="6DBD14FD"/>
    <w:rsid w:val="6EEC4B68"/>
    <w:rsid w:val="6FA24E6B"/>
    <w:rsid w:val="6FE97FAD"/>
    <w:rsid w:val="70826A57"/>
    <w:rsid w:val="710045E3"/>
    <w:rsid w:val="713C01D1"/>
    <w:rsid w:val="713D5DC7"/>
    <w:rsid w:val="724C573B"/>
    <w:rsid w:val="72A20FEC"/>
    <w:rsid w:val="72E27503"/>
    <w:rsid w:val="7414437D"/>
    <w:rsid w:val="748151E0"/>
    <w:rsid w:val="74952A56"/>
    <w:rsid w:val="74B33F7E"/>
    <w:rsid w:val="75304EDF"/>
    <w:rsid w:val="77216ECD"/>
    <w:rsid w:val="77D012BD"/>
    <w:rsid w:val="783F1A91"/>
    <w:rsid w:val="787E5866"/>
    <w:rsid w:val="78C76182"/>
    <w:rsid w:val="79FF7EC7"/>
    <w:rsid w:val="7B1D7608"/>
    <w:rsid w:val="7B954F97"/>
    <w:rsid w:val="7C845552"/>
    <w:rsid w:val="7CA06F24"/>
    <w:rsid w:val="7E264B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widowControl/>
      <w:spacing w:after="200" w:line="276" w:lineRule="auto"/>
      <w:jc w:val="left"/>
    </w:pPr>
    <w:rPr>
      <w:rFonts w:eastAsia="宋体"/>
      <w:kern w:val="0"/>
      <w:sz w:val="22"/>
      <w:lang w:eastAsia="en-US" w:bidi="en-US"/>
    </w:rPr>
  </w:style>
  <w:style w:type="paragraph" w:styleId="3">
    <w:name w:val="toc 5"/>
    <w:basedOn w:val="1"/>
    <w:next w:val="1"/>
    <w:unhideWhenUsed/>
    <w:qFormat/>
    <w:uiPriority w:val="39"/>
    <w:pPr>
      <w:widowControl/>
      <w:spacing w:after="200" w:line="276" w:lineRule="auto"/>
      <w:ind w:left="1680" w:leftChars="800"/>
      <w:jc w:val="left"/>
    </w:pPr>
    <w:rPr>
      <w:rFonts w:eastAsia="宋体"/>
      <w:kern w:val="0"/>
      <w:sz w:val="22"/>
      <w:lang w:eastAsia="en-US" w:bidi="en-US"/>
    </w:rPr>
  </w:style>
  <w:style w:type="paragraph" w:styleId="4">
    <w:name w:val="Balloon Text"/>
    <w:basedOn w:val="1"/>
    <w:link w:val="309"/>
    <w:unhideWhenUsed/>
    <w:qFormat/>
    <w:uiPriority w:val="99"/>
    <w:rPr>
      <w:sz w:val="18"/>
      <w:szCs w:val="18"/>
    </w:rPr>
  </w:style>
  <w:style w:type="paragraph" w:styleId="5">
    <w:name w:val="footer"/>
    <w:basedOn w:val="1"/>
    <w:link w:val="308"/>
    <w:unhideWhenUsed/>
    <w:qFormat/>
    <w:uiPriority w:val="99"/>
    <w:pPr>
      <w:tabs>
        <w:tab w:val="center" w:pos="4153"/>
        <w:tab w:val="right" w:pos="8306"/>
      </w:tabs>
      <w:snapToGrid w:val="0"/>
      <w:jc w:val="left"/>
    </w:pPr>
    <w:rPr>
      <w:sz w:val="18"/>
      <w:szCs w:val="18"/>
    </w:rPr>
  </w:style>
  <w:style w:type="paragraph" w:styleId="6">
    <w:name w:val="header"/>
    <w:basedOn w:val="1"/>
    <w:link w:val="307"/>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unhideWhenUsed/>
    <w:qFormat/>
    <w:uiPriority w:val="99"/>
    <w:rPr>
      <w:color w:val="800080"/>
      <w:u w:val="single"/>
    </w:rPr>
  </w:style>
  <w:style w:type="character" w:styleId="11">
    <w:name w:val="Hyperlink"/>
    <w:basedOn w:val="9"/>
    <w:unhideWhenUsed/>
    <w:qFormat/>
    <w:uiPriority w:val="99"/>
    <w:rPr>
      <w:color w:val="0000FF"/>
      <w:u w:val="single"/>
    </w:rPr>
  </w:style>
  <w:style w:type="paragraph" w:customStyle="1" w:styleId="12">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font7"/>
    <w:basedOn w:val="1"/>
    <w:qFormat/>
    <w:uiPriority w:val="0"/>
    <w:pPr>
      <w:widowControl/>
      <w:spacing w:before="100" w:beforeAutospacing="1" w:after="100" w:afterAutospacing="1"/>
      <w:jc w:val="left"/>
    </w:pPr>
    <w:rPr>
      <w:rFonts w:ascii="方正仿宋_GBK" w:hAnsi="宋体" w:cs="宋体"/>
      <w:kern w:val="0"/>
      <w:sz w:val="20"/>
      <w:szCs w:val="20"/>
    </w:rPr>
  </w:style>
  <w:style w:type="paragraph" w:customStyle="1" w:styleId="15">
    <w:name w:val="font8"/>
    <w:basedOn w:val="1"/>
    <w:qFormat/>
    <w:uiPriority w:val="0"/>
    <w:pPr>
      <w:widowControl/>
      <w:spacing w:before="100" w:beforeAutospacing="1" w:after="100" w:afterAutospacing="1"/>
      <w:jc w:val="left"/>
    </w:pPr>
    <w:rPr>
      <w:rFonts w:eastAsia="宋体"/>
      <w:kern w:val="0"/>
      <w:sz w:val="20"/>
      <w:szCs w:val="20"/>
    </w:rPr>
  </w:style>
  <w:style w:type="paragraph" w:customStyle="1" w:styleId="16">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10"/>
    <w:basedOn w:val="1"/>
    <w:qFormat/>
    <w:uiPriority w:val="0"/>
    <w:pPr>
      <w:widowControl/>
      <w:spacing w:before="100" w:beforeAutospacing="1" w:after="100" w:afterAutospacing="1"/>
      <w:jc w:val="left"/>
    </w:pPr>
    <w:rPr>
      <w:rFonts w:ascii="方正仿宋_GBK" w:hAnsi="宋体" w:cs="宋体"/>
      <w:color w:val="000000"/>
      <w:kern w:val="0"/>
      <w:sz w:val="20"/>
      <w:szCs w:val="20"/>
    </w:rPr>
  </w:style>
  <w:style w:type="paragraph" w:customStyle="1" w:styleId="18">
    <w:name w:val="font1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font1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
    <w:name w:val="font1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15"/>
    <w:basedOn w:val="1"/>
    <w:qFormat/>
    <w:uiPriority w:val="0"/>
    <w:pPr>
      <w:widowControl/>
      <w:spacing w:before="100" w:beforeAutospacing="1" w:after="100" w:afterAutospacing="1"/>
      <w:jc w:val="left"/>
    </w:pPr>
    <w:rPr>
      <w:rFonts w:eastAsia="宋体"/>
      <w:color w:val="000000"/>
      <w:kern w:val="0"/>
      <w:sz w:val="20"/>
      <w:szCs w:val="20"/>
    </w:rPr>
  </w:style>
  <w:style w:type="paragraph" w:customStyle="1" w:styleId="23">
    <w:name w:val="font1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4">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font1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
    <w:name w:val="font19"/>
    <w:basedOn w:val="1"/>
    <w:qFormat/>
    <w:uiPriority w:val="0"/>
    <w:pPr>
      <w:widowControl/>
      <w:spacing w:before="100" w:beforeAutospacing="1" w:after="100" w:afterAutospacing="1"/>
      <w:jc w:val="left"/>
    </w:pPr>
    <w:rPr>
      <w:rFonts w:eastAsia="宋体"/>
      <w:kern w:val="0"/>
      <w:sz w:val="16"/>
      <w:szCs w:val="16"/>
    </w:rPr>
  </w:style>
  <w:style w:type="paragraph" w:customStyle="1" w:styleId="27">
    <w:name w:val="font20"/>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8">
    <w:name w:val="font2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
    <w:name w:val="xl77"/>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30">
    <w:name w:val="xl78"/>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31">
    <w:name w:val="xl79"/>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32">
    <w:name w:val="xl80"/>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33">
    <w:name w:val="xl81"/>
    <w:basedOn w:val="1"/>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3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3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3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b/>
      <w:bCs/>
      <w:kern w:val="0"/>
      <w:sz w:val="20"/>
      <w:szCs w:val="20"/>
    </w:rPr>
  </w:style>
  <w:style w:type="paragraph" w:customStyle="1" w:styleId="3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18"/>
      <w:szCs w:val="18"/>
    </w:rPr>
  </w:style>
  <w:style w:type="paragraph" w:customStyle="1" w:styleId="4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4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4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0"/>
      <w:szCs w:val="20"/>
    </w:rPr>
  </w:style>
  <w:style w:type="paragraph" w:customStyle="1" w:styleId="4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4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0"/>
      <w:szCs w:val="20"/>
    </w:rPr>
  </w:style>
  <w:style w:type="paragraph" w:customStyle="1" w:styleId="46">
    <w:name w:val="xl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47">
    <w:name w:val="xl9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4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49">
    <w:name w:val="xl9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5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18"/>
      <w:szCs w:val="18"/>
    </w:rPr>
  </w:style>
  <w:style w:type="paragraph" w:customStyle="1" w:styleId="5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b/>
      <w:bCs/>
      <w:color w:val="000000"/>
      <w:kern w:val="0"/>
      <w:sz w:val="20"/>
      <w:szCs w:val="20"/>
    </w:rPr>
  </w:style>
  <w:style w:type="paragraph" w:customStyle="1" w:styleId="53">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color w:val="000000"/>
      <w:kern w:val="0"/>
      <w:sz w:val="20"/>
      <w:szCs w:val="20"/>
    </w:rPr>
  </w:style>
  <w:style w:type="paragraph" w:customStyle="1" w:styleId="54">
    <w:name w:val="xl102"/>
    <w:basedOn w:val="1"/>
    <w:qFormat/>
    <w:uiPriority w:val="0"/>
    <w:pPr>
      <w:widowControl/>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color w:val="000000"/>
      <w:kern w:val="0"/>
      <w:sz w:val="20"/>
      <w:szCs w:val="20"/>
    </w:rPr>
  </w:style>
  <w:style w:type="paragraph" w:customStyle="1" w:styleId="5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57">
    <w:name w:val="xl105"/>
    <w:basedOn w:val="1"/>
    <w:qFormat/>
    <w:uiPriority w:val="0"/>
    <w:pPr>
      <w:widowControl/>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58">
    <w:name w:val="xl106"/>
    <w:basedOn w:val="1"/>
    <w:qFormat/>
    <w:uiPriority w:val="0"/>
    <w:pPr>
      <w:widowControl/>
      <w:shd w:val="clear" w:color="000000" w:fill="FFFFFF"/>
      <w:spacing w:before="100" w:beforeAutospacing="1" w:after="100" w:afterAutospacing="1"/>
      <w:jc w:val="left"/>
    </w:pPr>
    <w:rPr>
      <w:rFonts w:ascii="宋体" w:hAnsi="宋体" w:eastAsia="宋体" w:cs="宋体"/>
      <w:color w:val="000000"/>
      <w:kern w:val="0"/>
      <w:sz w:val="24"/>
      <w:szCs w:val="24"/>
    </w:rPr>
  </w:style>
  <w:style w:type="paragraph" w:customStyle="1" w:styleId="5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4"/>
      <w:szCs w:val="24"/>
    </w:rPr>
  </w:style>
  <w:style w:type="paragraph" w:customStyle="1" w:styleId="6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1">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62">
    <w:name w:val="xl1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3">
    <w:name w:val="xl11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67">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68">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6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70">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color w:val="000000"/>
      <w:kern w:val="0"/>
      <w:sz w:val="20"/>
      <w:szCs w:val="20"/>
    </w:rPr>
  </w:style>
  <w:style w:type="paragraph" w:customStyle="1" w:styleId="71">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72">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7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7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4"/>
      <w:szCs w:val="24"/>
    </w:rPr>
  </w:style>
  <w:style w:type="paragraph" w:customStyle="1" w:styleId="7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7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77">
    <w:name w:val="xl125"/>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78">
    <w:name w:val="xl126"/>
    <w:basedOn w:val="1"/>
    <w:qFormat/>
    <w:uiPriority w:val="0"/>
    <w:pPr>
      <w:widowControl/>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79">
    <w:name w:val="xl127"/>
    <w:basedOn w:val="1"/>
    <w:qFormat/>
    <w:uiPriority w:val="0"/>
    <w:pPr>
      <w:widowControl/>
      <w:shd w:val="clear" w:color="000000" w:fill="FFFFFF"/>
      <w:spacing w:before="100" w:beforeAutospacing="1" w:after="100" w:afterAutospacing="1"/>
      <w:jc w:val="left"/>
    </w:pPr>
    <w:rPr>
      <w:rFonts w:ascii="新宋体" w:hAnsi="新宋体" w:eastAsia="新宋体" w:cs="宋体"/>
      <w:color w:val="000000"/>
      <w:kern w:val="0"/>
      <w:sz w:val="18"/>
      <w:szCs w:val="18"/>
    </w:rPr>
  </w:style>
  <w:style w:type="paragraph" w:customStyle="1" w:styleId="80">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新宋体" w:hAnsi="新宋体" w:eastAsia="新宋体" w:cs="宋体"/>
      <w:color w:val="000000"/>
      <w:kern w:val="0"/>
      <w:sz w:val="18"/>
      <w:szCs w:val="18"/>
    </w:rPr>
  </w:style>
  <w:style w:type="paragraph" w:customStyle="1" w:styleId="81">
    <w:name w:val="xl12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18"/>
      <w:szCs w:val="18"/>
    </w:rPr>
  </w:style>
  <w:style w:type="paragraph" w:customStyle="1" w:styleId="82">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18"/>
      <w:szCs w:val="18"/>
    </w:rPr>
  </w:style>
  <w:style w:type="paragraph" w:customStyle="1" w:styleId="83">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新宋体" w:hAnsi="新宋体" w:eastAsia="新宋体" w:cs="宋体"/>
      <w:color w:val="000000"/>
      <w:kern w:val="0"/>
      <w:sz w:val="18"/>
      <w:szCs w:val="18"/>
    </w:rPr>
  </w:style>
  <w:style w:type="paragraph" w:customStyle="1" w:styleId="84">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新宋体" w:hAnsi="新宋体" w:eastAsia="新宋体" w:cs="宋体"/>
      <w:color w:val="000000"/>
      <w:kern w:val="0"/>
      <w:sz w:val="18"/>
      <w:szCs w:val="18"/>
    </w:rPr>
  </w:style>
  <w:style w:type="paragraph" w:customStyle="1" w:styleId="85">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18"/>
      <w:szCs w:val="18"/>
    </w:rPr>
  </w:style>
  <w:style w:type="paragraph" w:customStyle="1" w:styleId="86">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87">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88">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新宋体" w:hAnsi="新宋体" w:eastAsia="新宋体" w:cs="宋体"/>
      <w:kern w:val="0"/>
      <w:sz w:val="18"/>
      <w:szCs w:val="18"/>
    </w:rPr>
  </w:style>
  <w:style w:type="paragraph" w:customStyle="1" w:styleId="89">
    <w:name w:val="xl13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90">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新宋体" w:hAnsi="新宋体" w:eastAsia="新宋体" w:cs="宋体"/>
      <w:color w:val="000000"/>
      <w:kern w:val="0"/>
      <w:sz w:val="18"/>
      <w:szCs w:val="18"/>
    </w:rPr>
  </w:style>
  <w:style w:type="paragraph" w:customStyle="1" w:styleId="91">
    <w:name w:val="xl13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新宋体" w:hAnsi="新宋体" w:eastAsia="新宋体" w:cs="宋体"/>
      <w:color w:val="000000"/>
      <w:kern w:val="0"/>
      <w:sz w:val="18"/>
      <w:szCs w:val="18"/>
    </w:rPr>
  </w:style>
  <w:style w:type="paragraph" w:customStyle="1" w:styleId="92">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新宋体" w:hAnsi="新宋体" w:eastAsia="新宋体" w:cs="宋体"/>
      <w:color w:val="000000"/>
      <w:kern w:val="0"/>
      <w:sz w:val="18"/>
      <w:szCs w:val="18"/>
    </w:rPr>
  </w:style>
  <w:style w:type="paragraph" w:customStyle="1" w:styleId="93">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94">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95">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18"/>
      <w:szCs w:val="18"/>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97">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98">
    <w:name w:val="xl146"/>
    <w:basedOn w:val="1"/>
    <w:qFormat/>
    <w:uiPriority w:val="0"/>
    <w:pPr>
      <w:widowControl/>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99">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00">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01">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2"/>
    </w:rPr>
  </w:style>
  <w:style w:type="paragraph" w:customStyle="1" w:styleId="102">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103">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b/>
      <w:bCs/>
      <w:kern w:val="0"/>
      <w:sz w:val="18"/>
      <w:szCs w:val="18"/>
    </w:rPr>
  </w:style>
  <w:style w:type="paragraph" w:customStyle="1" w:styleId="104">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b/>
      <w:bCs/>
      <w:kern w:val="0"/>
      <w:sz w:val="20"/>
      <w:szCs w:val="20"/>
    </w:rPr>
  </w:style>
  <w:style w:type="paragraph" w:customStyle="1" w:styleId="105">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b/>
      <w:bCs/>
      <w:kern w:val="0"/>
      <w:sz w:val="20"/>
      <w:szCs w:val="20"/>
    </w:rPr>
  </w:style>
  <w:style w:type="paragraph" w:customStyle="1" w:styleId="106">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107">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108">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109">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18"/>
      <w:szCs w:val="18"/>
    </w:rPr>
  </w:style>
  <w:style w:type="paragraph" w:customStyle="1" w:styleId="110">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11">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12">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113">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18"/>
      <w:szCs w:val="18"/>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115">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18"/>
      <w:szCs w:val="18"/>
    </w:rPr>
  </w:style>
  <w:style w:type="paragraph" w:customStyle="1" w:styleId="116">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18"/>
      <w:szCs w:val="18"/>
    </w:rPr>
  </w:style>
  <w:style w:type="paragraph" w:customStyle="1" w:styleId="117">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b/>
      <w:bCs/>
      <w:kern w:val="0"/>
      <w:sz w:val="24"/>
      <w:szCs w:val="24"/>
    </w:rPr>
  </w:style>
  <w:style w:type="paragraph" w:customStyle="1" w:styleId="118">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4"/>
      <w:szCs w:val="24"/>
    </w:rPr>
  </w:style>
  <w:style w:type="paragraph" w:customStyle="1" w:styleId="119">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b/>
      <w:bCs/>
      <w:kern w:val="0"/>
      <w:sz w:val="18"/>
      <w:szCs w:val="18"/>
    </w:rPr>
  </w:style>
  <w:style w:type="paragraph" w:customStyle="1" w:styleId="120">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18"/>
      <w:szCs w:val="18"/>
    </w:rPr>
  </w:style>
  <w:style w:type="paragraph" w:customStyle="1" w:styleId="121">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18"/>
      <w:szCs w:val="18"/>
    </w:rPr>
  </w:style>
  <w:style w:type="paragraph" w:customStyle="1" w:styleId="122">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b/>
      <w:bCs/>
      <w:kern w:val="0"/>
      <w:sz w:val="24"/>
      <w:szCs w:val="24"/>
    </w:rPr>
  </w:style>
  <w:style w:type="paragraph" w:customStyle="1" w:styleId="123">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24">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125">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26">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b/>
      <w:bCs/>
      <w:kern w:val="0"/>
      <w:sz w:val="18"/>
      <w:szCs w:val="18"/>
    </w:rPr>
  </w:style>
  <w:style w:type="paragraph" w:customStyle="1" w:styleId="127">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28">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18"/>
      <w:szCs w:val="18"/>
    </w:rPr>
  </w:style>
  <w:style w:type="paragraph" w:customStyle="1" w:styleId="129">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b/>
      <w:bCs/>
      <w:kern w:val="0"/>
      <w:sz w:val="18"/>
      <w:szCs w:val="18"/>
    </w:rPr>
  </w:style>
  <w:style w:type="paragraph" w:customStyle="1" w:styleId="130">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31">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12"/>
      <w:szCs w:val="12"/>
    </w:rPr>
  </w:style>
  <w:style w:type="paragraph" w:customStyle="1" w:styleId="132">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b/>
      <w:bCs/>
      <w:kern w:val="0"/>
      <w:sz w:val="18"/>
      <w:szCs w:val="18"/>
    </w:rPr>
  </w:style>
  <w:style w:type="paragraph" w:customStyle="1" w:styleId="133">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134">
    <w:name w:val="xl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b/>
      <w:bCs/>
      <w:kern w:val="0"/>
      <w:sz w:val="20"/>
      <w:szCs w:val="20"/>
    </w:rPr>
  </w:style>
  <w:style w:type="paragraph" w:customStyle="1" w:styleId="135">
    <w:name w:val="xl1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136">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b/>
      <w:bCs/>
      <w:kern w:val="0"/>
      <w:sz w:val="20"/>
      <w:szCs w:val="20"/>
    </w:rPr>
  </w:style>
  <w:style w:type="paragraph" w:customStyle="1" w:styleId="137">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b/>
      <w:bCs/>
      <w:kern w:val="0"/>
      <w:sz w:val="20"/>
      <w:szCs w:val="20"/>
    </w:rPr>
  </w:style>
  <w:style w:type="paragraph" w:customStyle="1" w:styleId="138">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0"/>
      <w:szCs w:val="20"/>
    </w:rPr>
  </w:style>
  <w:style w:type="paragraph" w:customStyle="1" w:styleId="139">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40">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41">
    <w:name w:val="xl1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42">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2"/>
    </w:rPr>
  </w:style>
  <w:style w:type="paragraph" w:customStyle="1" w:styleId="143">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18"/>
      <w:szCs w:val="18"/>
    </w:rPr>
  </w:style>
  <w:style w:type="paragraph" w:customStyle="1" w:styleId="144">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45">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46">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47">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48">
    <w:name w:val="xl1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49">
    <w:name w:val="xl1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150">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18"/>
      <w:szCs w:val="18"/>
    </w:rPr>
  </w:style>
  <w:style w:type="paragraph" w:customStyle="1" w:styleId="151">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152">
    <w:name w:val="xl2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153">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54">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color w:val="000000"/>
      <w:kern w:val="0"/>
      <w:sz w:val="20"/>
      <w:szCs w:val="20"/>
    </w:rPr>
  </w:style>
  <w:style w:type="paragraph" w:customStyle="1" w:styleId="155">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2"/>
    </w:rPr>
  </w:style>
  <w:style w:type="paragraph" w:customStyle="1" w:styleId="156">
    <w:name w:val="xl2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b/>
      <w:bCs/>
      <w:kern w:val="0"/>
      <w:sz w:val="24"/>
      <w:szCs w:val="24"/>
    </w:rPr>
  </w:style>
  <w:style w:type="paragraph" w:customStyle="1" w:styleId="157">
    <w:name w:val="xl2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0"/>
      <w:szCs w:val="20"/>
    </w:rPr>
  </w:style>
  <w:style w:type="paragraph" w:customStyle="1" w:styleId="158">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0"/>
      <w:szCs w:val="20"/>
    </w:rPr>
  </w:style>
  <w:style w:type="paragraph" w:customStyle="1" w:styleId="159">
    <w:name w:val="xl2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160">
    <w:name w:val="xl2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16"/>
      <w:szCs w:val="16"/>
    </w:rPr>
  </w:style>
  <w:style w:type="paragraph" w:customStyle="1" w:styleId="161">
    <w:name w:val="xl2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62">
    <w:name w:val="xl2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63">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64">
    <w:name w:val="xl2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2"/>
    </w:rPr>
  </w:style>
  <w:style w:type="paragraph" w:customStyle="1" w:styleId="165">
    <w:name w:val="xl2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18"/>
      <w:szCs w:val="18"/>
    </w:rPr>
  </w:style>
  <w:style w:type="paragraph" w:customStyle="1" w:styleId="166">
    <w:name w:val="xl2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b/>
      <w:bCs/>
      <w:kern w:val="0"/>
      <w:sz w:val="18"/>
      <w:szCs w:val="18"/>
    </w:rPr>
  </w:style>
  <w:style w:type="paragraph" w:customStyle="1" w:styleId="167">
    <w:name w:val="xl2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b/>
      <w:bCs/>
      <w:kern w:val="0"/>
      <w:sz w:val="18"/>
      <w:szCs w:val="18"/>
    </w:rPr>
  </w:style>
  <w:style w:type="paragraph" w:customStyle="1" w:styleId="168">
    <w:name w:val="xl2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18"/>
      <w:szCs w:val="18"/>
    </w:rPr>
  </w:style>
  <w:style w:type="paragraph" w:customStyle="1" w:styleId="169">
    <w:name w:val="xl2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18"/>
      <w:szCs w:val="18"/>
    </w:rPr>
  </w:style>
  <w:style w:type="paragraph" w:customStyle="1" w:styleId="170">
    <w:name w:val="xl2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b/>
      <w:bCs/>
      <w:kern w:val="0"/>
      <w:sz w:val="20"/>
      <w:szCs w:val="20"/>
    </w:rPr>
  </w:style>
  <w:style w:type="paragraph" w:customStyle="1" w:styleId="171">
    <w:name w:val="xl2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172">
    <w:name w:val="xl2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color w:val="000000"/>
      <w:kern w:val="0"/>
      <w:sz w:val="18"/>
      <w:szCs w:val="18"/>
    </w:rPr>
  </w:style>
  <w:style w:type="paragraph" w:customStyle="1" w:styleId="173">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color w:val="000000"/>
      <w:kern w:val="0"/>
      <w:sz w:val="18"/>
      <w:szCs w:val="18"/>
    </w:rPr>
  </w:style>
  <w:style w:type="paragraph" w:customStyle="1" w:styleId="174">
    <w:name w:val="xl2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color w:val="000000"/>
      <w:kern w:val="0"/>
      <w:sz w:val="20"/>
      <w:szCs w:val="20"/>
    </w:rPr>
  </w:style>
  <w:style w:type="paragraph" w:customStyle="1" w:styleId="175">
    <w:name w:val="xl2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176">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color w:val="000000"/>
      <w:kern w:val="0"/>
      <w:sz w:val="18"/>
      <w:szCs w:val="18"/>
    </w:rPr>
  </w:style>
  <w:style w:type="paragraph" w:customStyle="1" w:styleId="177">
    <w:name w:val="xl2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color w:val="000000"/>
      <w:kern w:val="0"/>
      <w:sz w:val="20"/>
      <w:szCs w:val="20"/>
    </w:rPr>
  </w:style>
  <w:style w:type="paragraph" w:customStyle="1" w:styleId="178">
    <w:name w:val="xl2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color w:val="000000"/>
      <w:kern w:val="0"/>
      <w:sz w:val="16"/>
      <w:szCs w:val="16"/>
    </w:rPr>
  </w:style>
  <w:style w:type="paragraph" w:customStyle="1" w:styleId="179">
    <w:name w:val="xl2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18"/>
      <w:szCs w:val="18"/>
    </w:rPr>
  </w:style>
  <w:style w:type="paragraph" w:customStyle="1" w:styleId="180">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18"/>
      <w:szCs w:val="18"/>
    </w:rPr>
  </w:style>
  <w:style w:type="paragraph" w:customStyle="1" w:styleId="181">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18"/>
      <w:szCs w:val="18"/>
    </w:rPr>
  </w:style>
  <w:style w:type="paragraph" w:customStyle="1" w:styleId="182">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color w:val="000000"/>
      <w:kern w:val="0"/>
      <w:sz w:val="18"/>
      <w:szCs w:val="18"/>
    </w:rPr>
  </w:style>
  <w:style w:type="paragraph" w:customStyle="1" w:styleId="183">
    <w:name w:val="xl2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18"/>
      <w:szCs w:val="18"/>
    </w:rPr>
  </w:style>
  <w:style w:type="paragraph" w:customStyle="1" w:styleId="184">
    <w:name w:val="xl2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18"/>
      <w:szCs w:val="18"/>
    </w:rPr>
  </w:style>
  <w:style w:type="paragraph" w:customStyle="1" w:styleId="185">
    <w:name w:val="xl2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b/>
      <w:bCs/>
      <w:color w:val="000000"/>
      <w:kern w:val="0"/>
      <w:sz w:val="20"/>
      <w:szCs w:val="20"/>
    </w:rPr>
  </w:style>
  <w:style w:type="paragraph" w:customStyle="1" w:styleId="186">
    <w:name w:val="xl2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color w:val="000000"/>
      <w:kern w:val="0"/>
      <w:sz w:val="20"/>
      <w:szCs w:val="20"/>
    </w:rPr>
  </w:style>
  <w:style w:type="paragraph" w:customStyle="1" w:styleId="187">
    <w:name w:val="xl235"/>
    <w:basedOn w:val="1"/>
    <w:qFormat/>
    <w:uiPriority w:val="0"/>
    <w:pPr>
      <w:widowControl/>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188">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189">
    <w:name w:val="xl2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190">
    <w:name w:val="xl2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191">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192">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93">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194">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5">
    <w:name w:val="xl2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196">
    <w:name w:val="xl2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197">
    <w:name w:val="xl2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198">
    <w:name w:val="xl2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199">
    <w:name w:val="xl2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0"/>
      <w:szCs w:val="20"/>
    </w:rPr>
  </w:style>
  <w:style w:type="paragraph" w:customStyle="1" w:styleId="200">
    <w:name w:val="xl2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0"/>
      <w:szCs w:val="20"/>
    </w:rPr>
  </w:style>
  <w:style w:type="paragraph" w:customStyle="1" w:styleId="201">
    <w:name w:val="xl249"/>
    <w:basedOn w:val="1"/>
    <w:qFormat/>
    <w:uiPriority w:val="0"/>
    <w:pPr>
      <w:widowControl/>
      <w:shd w:val="clear" w:color="000000" w:fill="FFFFFF"/>
      <w:spacing w:before="100" w:beforeAutospacing="1" w:after="100" w:afterAutospacing="1"/>
    </w:pPr>
    <w:rPr>
      <w:rFonts w:ascii="仿宋_GB2312" w:hAnsi="宋体" w:eastAsia="仿宋_GB2312" w:cs="宋体"/>
      <w:kern w:val="0"/>
      <w:sz w:val="20"/>
      <w:szCs w:val="20"/>
    </w:rPr>
  </w:style>
  <w:style w:type="paragraph" w:customStyle="1" w:styleId="202">
    <w:name w:val="xl2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203">
    <w:name w:val="xl2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0"/>
      <w:szCs w:val="20"/>
    </w:rPr>
  </w:style>
  <w:style w:type="paragraph" w:customStyle="1" w:styleId="204">
    <w:name w:val="xl2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205">
    <w:name w:val="xl2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16"/>
      <w:szCs w:val="16"/>
    </w:rPr>
  </w:style>
  <w:style w:type="paragraph" w:customStyle="1" w:styleId="206">
    <w:name w:val="xl2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207">
    <w:name w:val="xl255"/>
    <w:basedOn w:val="1"/>
    <w:qFormat/>
    <w:uiPriority w:val="0"/>
    <w:pPr>
      <w:widowControl/>
      <w:shd w:val="clear" w:color="000000" w:fill="FFFFFF"/>
      <w:spacing w:before="100" w:beforeAutospacing="1" w:after="100" w:afterAutospacing="1"/>
    </w:pPr>
    <w:rPr>
      <w:rFonts w:ascii="宋体" w:hAnsi="宋体" w:eastAsia="宋体" w:cs="宋体"/>
      <w:color w:val="333333"/>
      <w:kern w:val="0"/>
      <w:sz w:val="22"/>
    </w:rPr>
  </w:style>
  <w:style w:type="paragraph" w:customStyle="1" w:styleId="208">
    <w:name w:val="xl2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color w:val="000000"/>
      <w:kern w:val="0"/>
      <w:sz w:val="20"/>
      <w:szCs w:val="20"/>
    </w:rPr>
  </w:style>
  <w:style w:type="paragraph" w:customStyle="1" w:styleId="209">
    <w:name w:val="xl2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color w:val="000000"/>
      <w:kern w:val="0"/>
      <w:sz w:val="16"/>
      <w:szCs w:val="16"/>
    </w:rPr>
  </w:style>
  <w:style w:type="paragraph" w:customStyle="1" w:styleId="210">
    <w:name w:val="xl2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6"/>
      <w:szCs w:val="16"/>
    </w:rPr>
  </w:style>
  <w:style w:type="paragraph" w:customStyle="1" w:styleId="211">
    <w:name w:val="xl2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6"/>
      <w:szCs w:val="16"/>
    </w:rPr>
  </w:style>
  <w:style w:type="paragraph" w:customStyle="1" w:styleId="212">
    <w:name w:val="xl2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6"/>
      <w:szCs w:val="16"/>
    </w:rPr>
  </w:style>
  <w:style w:type="paragraph" w:customStyle="1" w:styleId="213">
    <w:name w:val="xl2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6"/>
      <w:szCs w:val="16"/>
    </w:rPr>
  </w:style>
  <w:style w:type="paragraph" w:customStyle="1" w:styleId="214">
    <w:name w:val="xl2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color w:val="000000"/>
      <w:kern w:val="0"/>
      <w:sz w:val="16"/>
      <w:szCs w:val="16"/>
    </w:rPr>
  </w:style>
  <w:style w:type="paragraph" w:customStyle="1" w:styleId="215">
    <w:name w:val="xl2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6"/>
      <w:szCs w:val="16"/>
    </w:rPr>
  </w:style>
  <w:style w:type="paragraph" w:customStyle="1" w:styleId="216">
    <w:name w:val="xl2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6"/>
      <w:szCs w:val="16"/>
    </w:rPr>
  </w:style>
  <w:style w:type="paragraph" w:customStyle="1" w:styleId="217">
    <w:name w:val="xl2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6"/>
      <w:szCs w:val="16"/>
    </w:rPr>
  </w:style>
  <w:style w:type="paragraph" w:customStyle="1" w:styleId="218">
    <w:name w:val="xl2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6"/>
      <w:szCs w:val="16"/>
    </w:rPr>
  </w:style>
  <w:style w:type="paragraph" w:customStyle="1" w:styleId="219">
    <w:name w:val="xl2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color w:val="000000"/>
      <w:kern w:val="0"/>
      <w:sz w:val="14"/>
      <w:szCs w:val="14"/>
    </w:rPr>
  </w:style>
  <w:style w:type="paragraph" w:customStyle="1" w:styleId="220">
    <w:name w:val="xl2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6"/>
      <w:szCs w:val="16"/>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222">
    <w:name w:val="xl2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6"/>
      <w:szCs w:val="16"/>
    </w:rPr>
  </w:style>
  <w:style w:type="paragraph" w:customStyle="1" w:styleId="223">
    <w:name w:val="xl2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6"/>
      <w:szCs w:val="16"/>
    </w:rPr>
  </w:style>
  <w:style w:type="paragraph" w:customStyle="1" w:styleId="224">
    <w:name w:val="xl2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16"/>
      <w:szCs w:val="16"/>
    </w:rPr>
  </w:style>
  <w:style w:type="paragraph" w:customStyle="1" w:styleId="225">
    <w:name w:val="xl2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color w:val="000000"/>
      <w:kern w:val="0"/>
      <w:sz w:val="20"/>
      <w:szCs w:val="20"/>
    </w:rPr>
  </w:style>
  <w:style w:type="paragraph" w:customStyle="1" w:styleId="226">
    <w:name w:val="xl2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color w:val="000000"/>
      <w:kern w:val="0"/>
      <w:sz w:val="20"/>
      <w:szCs w:val="20"/>
    </w:rPr>
  </w:style>
  <w:style w:type="paragraph" w:customStyle="1" w:styleId="227">
    <w:name w:val="xl2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228">
    <w:name w:val="xl2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229">
    <w:name w:val="xl2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230">
    <w:name w:val="xl2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231">
    <w:name w:val="xl2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232">
    <w:name w:val="xl2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233">
    <w:name w:val="xl2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34">
    <w:name w:val="xl2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35">
    <w:name w:val="xl2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236">
    <w:name w:val="xl2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237">
    <w:name w:val="xl2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238">
    <w:name w:val="xl2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239">
    <w:name w:val="xl2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40">
    <w:name w:val="xl2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41">
    <w:name w:val="xl2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242">
    <w:name w:val="xl2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b/>
      <w:bCs/>
      <w:kern w:val="0"/>
      <w:sz w:val="20"/>
      <w:szCs w:val="20"/>
    </w:rPr>
  </w:style>
  <w:style w:type="paragraph" w:customStyle="1" w:styleId="243">
    <w:name w:val="xl2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244">
    <w:name w:val="xl2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45">
    <w:name w:val="xl2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46">
    <w:name w:val="xl2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47">
    <w:name w:val="xl2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48">
    <w:name w:val="xl2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249">
    <w:name w:val="xl2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50">
    <w:name w:val="xl2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color w:val="000000"/>
      <w:kern w:val="0"/>
      <w:sz w:val="20"/>
      <w:szCs w:val="20"/>
    </w:rPr>
  </w:style>
  <w:style w:type="paragraph" w:customStyle="1" w:styleId="251">
    <w:name w:val="xl2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color w:val="000000"/>
      <w:kern w:val="0"/>
      <w:sz w:val="20"/>
      <w:szCs w:val="20"/>
    </w:rPr>
  </w:style>
  <w:style w:type="paragraph" w:customStyle="1" w:styleId="252">
    <w:name w:val="xl3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253">
    <w:name w:val="xl301"/>
    <w:basedOn w:val="1"/>
    <w:qFormat/>
    <w:uiPriority w:val="0"/>
    <w:pPr>
      <w:widowControl/>
      <w:shd w:val="clear" w:color="000000" w:fill="FFFFFF"/>
      <w:spacing w:before="100" w:beforeAutospacing="1" w:after="100" w:afterAutospacing="1"/>
    </w:pPr>
    <w:rPr>
      <w:rFonts w:ascii="宋体" w:hAnsi="宋体" w:eastAsia="宋体" w:cs="宋体"/>
      <w:color w:val="000000"/>
      <w:kern w:val="0"/>
      <w:sz w:val="20"/>
      <w:szCs w:val="20"/>
    </w:rPr>
  </w:style>
  <w:style w:type="paragraph" w:customStyle="1" w:styleId="254">
    <w:name w:val="xl302"/>
    <w:basedOn w:val="1"/>
    <w:qFormat/>
    <w:uiPriority w:val="0"/>
    <w:pPr>
      <w:widowControl/>
      <w:shd w:val="clear" w:color="000000" w:fill="FFFFFF"/>
      <w:spacing w:before="100" w:beforeAutospacing="1" w:after="100" w:afterAutospacing="1"/>
    </w:pPr>
    <w:rPr>
      <w:rFonts w:ascii="楷体_GB2312" w:hAnsi="宋体" w:eastAsia="楷体_GB2312" w:cs="宋体"/>
      <w:color w:val="000000"/>
      <w:kern w:val="0"/>
      <w:sz w:val="20"/>
      <w:szCs w:val="20"/>
    </w:rPr>
  </w:style>
  <w:style w:type="paragraph" w:customStyle="1" w:styleId="255">
    <w:name w:val="xl3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楷体_GB2312" w:hAnsi="宋体" w:eastAsia="楷体_GB2312" w:cs="宋体"/>
      <w:color w:val="000000"/>
      <w:kern w:val="0"/>
      <w:sz w:val="20"/>
      <w:szCs w:val="20"/>
    </w:rPr>
  </w:style>
  <w:style w:type="paragraph" w:customStyle="1" w:styleId="256">
    <w:name w:val="xl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楷体_GB2312" w:hAnsi="宋体" w:eastAsia="楷体_GB2312" w:cs="宋体"/>
      <w:color w:val="000000"/>
      <w:kern w:val="0"/>
      <w:sz w:val="20"/>
      <w:szCs w:val="20"/>
    </w:rPr>
  </w:style>
  <w:style w:type="paragraph" w:customStyle="1" w:styleId="257">
    <w:name w:val="xl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258">
    <w:name w:val="xl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新宋体" w:hAnsi="新宋体" w:eastAsia="新宋体" w:cs="宋体"/>
      <w:kern w:val="0"/>
      <w:sz w:val="18"/>
      <w:szCs w:val="18"/>
    </w:rPr>
  </w:style>
  <w:style w:type="paragraph" w:customStyle="1" w:styleId="259">
    <w:name w:val="xl3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b/>
      <w:bCs/>
      <w:kern w:val="0"/>
      <w:sz w:val="20"/>
      <w:szCs w:val="20"/>
    </w:rPr>
  </w:style>
  <w:style w:type="paragraph" w:customStyle="1" w:styleId="260">
    <w:name w:val="xl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261">
    <w:name w:val="xl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262">
    <w:name w:val="xl3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263">
    <w:name w:val="xl3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264">
    <w:name w:val="xl3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265">
    <w:name w:val="xl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266">
    <w:name w:val="xl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20"/>
      <w:szCs w:val="20"/>
    </w:rPr>
  </w:style>
  <w:style w:type="paragraph" w:customStyle="1" w:styleId="267">
    <w:name w:val="xl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eastAsia="宋体"/>
      <w:kern w:val="0"/>
      <w:sz w:val="16"/>
      <w:szCs w:val="16"/>
    </w:rPr>
  </w:style>
  <w:style w:type="paragraph" w:customStyle="1" w:styleId="268">
    <w:name w:val="xl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18"/>
      <w:szCs w:val="18"/>
    </w:rPr>
  </w:style>
  <w:style w:type="paragraph" w:customStyle="1" w:styleId="269">
    <w:name w:val="xl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18"/>
      <w:szCs w:val="18"/>
    </w:rPr>
  </w:style>
  <w:style w:type="paragraph" w:customStyle="1" w:styleId="270">
    <w:name w:val="xl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18"/>
      <w:szCs w:val="18"/>
    </w:rPr>
  </w:style>
  <w:style w:type="paragraph" w:customStyle="1" w:styleId="271">
    <w:name w:val="xl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272">
    <w:name w:val="xl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0"/>
      <w:szCs w:val="20"/>
    </w:rPr>
  </w:style>
  <w:style w:type="paragraph" w:customStyle="1" w:styleId="273">
    <w:name w:val="xl321"/>
    <w:basedOn w:val="1"/>
    <w:qFormat/>
    <w:uiPriority w:val="0"/>
    <w:pPr>
      <w:widowControl/>
      <w:shd w:val="clear" w:color="000000" w:fill="FFFFFF"/>
      <w:spacing w:before="100" w:beforeAutospacing="1" w:after="100" w:afterAutospacing="1"/>
      <w:jc w:val="left"/>
    </w:pPr>
    <w:rPr>
      <w:rFonts w:ascii="宋体" w:hAnsi="宋体" w:eastAsia="宋体" w:cs="宋体"/>
      <w:b/>
      <w:bCs/>
      <w:kern w:val="0"/>
      <w:sz w:val="24"/>
      <w:szCs w:val="24"/>
    </w:rPr>
  </w:style>
  <w:style w:type="paragraph" w:customStyle="1" w:styleId="274">
    <w:name w:val="xl322"/>
    <w:basedOn w:val="1"/>
    <w:qFormat/>
    <w:uiPriority w:val="0"/>
    <w:pPr>
      <w:widowControl/>
      <w:shd w:val="clear" w:color="000000"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275">
    <w:name w:val="xl323"/>
    <w:basedOn w:val="1"/>
    <w:qFormat/>
    <w:uiPriority w:val="0"/>
    <w:pPr>
      <w:widowControl/>
      <w:shd w:val="clear" w:color="000000" w:fill="FFFFFF"/>
      <w:spacing w:before="100" w:beforeAutospacing="1" w:after="100" w:afterAutospacing="1"/>
      <w:jc w:val="left"/>
    </w:pPr>
    <w:rPr>
      <w:rFonts w:ascii="宋体" w:hAnsi="宋体" w:eastAsia="宋体" w:cs="宋体"/>
      <w:b/>
      <w:bCs/>
      <w:kern w:val="0"/>
      <w:sz w:val="18"/>
      <w:szCs w:val="18"/>
    </w:rPr>
  </w:style>
  <w:style w:type="paragraph" w:customStyle="1" w:styleId="276">
    <w:name w:val="xl324"/>
    <w:basedOn w:val="1"/>
    <w:qFormat/>
    <w:uiPriority w:val="0"/>
    <w:pPr>
      <w:widowControl/>
      <w:shd w:val="clear" w:color="000000" w:fill="FFFFFF"/>
      <w:spacing w:before="100" w:beforeAutospacing="1" w:after="100" w:afterAutospacing="1"/>
      <w:jc w:val="left"/>
    </w:pPr>
    <w:rPr>
      <w:rFonts w:ascii="宋体" w:hAnsi="宋体" w:eastAsia="宋体" w:cs="宋体"/>
      <w:b/>
      <w:bCs/>
      <w:color w:val="000000"/>
      <w:kern w:val="0"/>
      <w:sz w:val="18"/>
      <w:szCs w:val="18"/>
    </w:rPr>
  </w:style>
  <w:style w:type="paragraph" w:customStyle="1" w:styleId="277">
    <w:name w:val="xl325"/>
    <w:basedOn w:val="1"/>
    <w:qFormat/>
    <w:uiPriority w:val="0"/>
    <w:pPr>
      <w:widowControl/>
      <w:shd w:val="clear" w:color="000000" w:fill="FFFFFF"/>
      <w:spacing w:before="100" w:beforeAutospacing="1" w:after="100" w:afterAutospacing="1"/>
      <w:jc w:val="left"/>
    </w:pPr>
    <w:rPr>
      <w:rFonts w:ascii="宋体" w:hAnsi="宋体" w:eastAsia="宋体" w:cs="宋体"/>
      <w:color w:val="000000"/>
      <w:kern w:val="0"/>
      <w:sz w:val="18"/>
      <w:szCs w:val="18"/>
    </w:rPr>
  </w:style>
  <w:style w:type="paragraph" w:customStyle="1" w:styleId="278">
    <w:name w:val="xl326"/>
    <w:basedOn w:val="1"/>
    <w:qFormat/>
    <w:uiPriority w:val="0"/>
    <w:pPr>
      <w:widowControl/>
      <w:shd w:val="clear" w:color="000000" w:fill="FFFFFF"/>
      <w:spacing w:before="100" w:beforeAutospacing="1" w:after="100" w:afterAutospacing="1"/>
      <w:jc w:val="left"/>
    </w:pPr>
    <w:rPr>
      <w:rFonts w:ascii="宋体" w:hAnsi="宋体" w:eastAsia="宋体" w:cs="宋体"/>
      <w:b/>
      <w:bCs/>
      <w:color w:val="000000"/>
      <w:kern w:val="0"/>
      <w:sz w:val="16"/>
      <w:szCs w:val="16"/>
    </w:rPr>
  </w:style>
  <w:style w:type="paragraph" w:customStyle="1" w:styleId="279">
    <w:name w:val="xl327"/>
    <w:basedOn w:val="1"/>
    <w:qFormat/>
    <w:uiPriority w:val="0"/>
    <w:pPr>
      <w:widowControl/>
      <w:shd w:val="clear" w:color="000000" w:fill="FFFFFF"/>
      <w:spacing w:before="100" w:beforeAutospacing="1" w:after="100" w:afterAutospacing="1"/>
      <w:jc w:val="left"/>
    </w:pPr>
    <w:rPr>
      <w:rFonts w:ascii="宋体" w:hAnsi="宋体" w:eastAsia="宋体" w:cs="宋体"/>
      <w:color w:val="000000"/>
      <w:kern w:val="0"/>
      <w:sz w:val="16"/>
      <w:szCs w:val="16"/>
    </w:rPr>
  </w:style>
  <w:style w:type="paragraph" w:customStyle="1" w:styleId="280">
    <w:name w:val="xl328"/>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281">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16"/>
      <w:szCs w:val="16"/>
    </w:rPr>
  </w:style>
  <w:style w:type="paragraph" w:customStyle="1" w:styleId="282">
    <w:name w:val="xl330"/>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283">
    <w:name w:val="xl331"/>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284">
    <w:name w:val="xl332"/>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285">
    <w:name w:val="xl33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286">
    <w:name w:val="xl3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287">
    <w:name w:val="xl3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288">
    <w:name w:val="xl336"/>
    <w:basedOn w:val="1"/>
    <w:qFormat/>
    <w:uiPriority w:val="0"/>
    <w:pPr>
      <w:widowControl/>
      <w:shd w:val="clear" w:color="000000" w:fill="FFFFFF"/>
      <w:spacing w:before="100" w:beforeAutospacing="1" w:after="100" w:afterAutospacing="1"/>
      <w:jc w:val="left"/>
    </w:pPr>
    <w:rPr>
      <w:rFonts w:ascii="宋体" w:hAnsi="宋体" w:eastAsia="宋体" w:cs="宋体"/>
      <w:b/>
      <w:bCs/>
      <w:color w:val="000000"/>
      <w:kern w:val="0"/>
      <w:sz w:val="24"/>
      <w:szCs w:val="24"/>
    </w:rPr>
  </w:style>
  <w:style w:type="paragraph" w:customStyle="1" w:styleId="289">
    <w:name w:val="xl337"/>
    <w:basedOn w:val="1"/>
    <w:qFormat/>
    <w:uiPriority w:val="0"/>
    <w:pPr>
      <w:widowControl/>
      <w:shd w:val="clear" w:color="000000" w:fill="FFFFFF"/>
      <w:spacing w:before="100" w:beforeAutospacing="1" w:after="100" w:afterAutospacing="1"/>
      <w:jc w:val="left"/>
    </w:pPr>
    <w:rPr>
      <w:rFonts w:ascii="宋体" w:hAnsi="宋体" w:eastAsia="宋体" w:cs="宋体"/>
      <w:color w:val="000000"/>
      <w:kern w:val="0"/>
      <w:sz w:val="24"/>
      <w:szCs w:val="24"/>
    </w:rPr>
  </w:style>
  <w:style w:type="paragraph" w:customStyle="1" w:styleId="290">
    <w:name w:val="xl33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方正仿宋_GBK" w:hAnsi="宋体" w:cs="宋体"/>
      <w:b/>
      <w:bCs/>
      <w:kern w:val="0"/>
      <w:sz w:val="20"/>
      <w:szCs w:val="20"/>
    </w:rPr>
  </w:style>
  <w:style w:type="paragraph" w:customStyle="1" w:styleId="291">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18"/>
      <w:szCs w:val="18"/>
    </w:rPr>
  </w:style>
  <w:style w:type="paragraph" w:customStyle="1" w:styleId="292">
    <w:name w:val="xl34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18"/>
      <w:szCs w:val="18"/>
    </w:rPr>
  </w:style>
  <w:style w:type="paragraph" w:customStyle="1" w:styleId="293">
    <w:name w:val="xl34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18"/>
      <w:szCs w:val="18"/>
    </w:rPr>
  </w:style>
  <w:style w:type="paragraph" w:customStyle="1" w:styleId="294">
    <w:name w:val="xl3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295">
    <w:name w:val="xl3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296">
    <w:name w:val="xl34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297">
    <w:name w:val="xl34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298">
    <w:name w:val="xl34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299">
    <w:name w:val="xl34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300">
    <w:name w:val="xl34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color w:val="000000"/>
      <w:kern w:val="0"/>
      <w:sz w:val="20"/>
      <w:szCs w:val="20"/>
    </w:rPr>
  </w:style>
  <w:style w:type="paragraph" w:customStyle="1" w:styleId="301">
    <w:name w:val="xl34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302">
    <w:name w:val="xl35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303">
    <w:name w:val="xl35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304">
    <w:name w:val="xl3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305">
    <w:name w:val="xl35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paragraph" w:customStyle="1" w:styleId="306">
    <w:name w:val="xl35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0"/>
      <w:szCs w:val="20"/>
    </w:rPr>
  </w:style>
  <w:style w:type="character" w:customStyle="1" w:styleId="307">
    <w:name w:val="页眉 Char"/>
    <w:basedOn w:val="9"/>
    <w:link w:val="6"/>
    <w:qFormat/>
    <w:uiPriority w:val="99"/>
    <w:rPr>
      <w:sz w:val="18"/>
      <w:szCs w:val="18"/>
    </w:rPr>
  </w:style>
  <w:style w:type="character" w:customStyle="1" w:styleId="308">
    <w:name w:val="页脚 Char"/>
    <w:basedOn w:val="9"/>
    <w:link w:val="5"/>
    <w:qFormat/>
    <w:uiPriority w:val="99"/>
    <w:rPr>
      <w:sz w:val="18"/>
      <w:szCs w:val="18"/>
    </w:rPr>
  </w:style>
  <w:style w:type="character" w:customStyle="1" w:styleId="309">
    <w:name w:val="批注框文本 Char"/>
    <w:basedOn w:val="9"/>
    <w:link w:val="4"/>
    <w:semiHidden/>
    <w:qFormat/>
    <w:uiPriority w:val="99"/>
    <w:rPr>
      <w:kern w:val="2"/>
      <w:sz w:val="18"/>
      <w:szCs w:val="18"/>
    </w:rPr>
  </w:style>
  <w:style w:type="character" w:customStyle="1" w:styleId="310">
    <w:name w:val="font211"/>
    <w:basedOn w:val="9"/>
    <w:qFormat/>
    <w:uiPriority w:val="0"/>
    <w:rPr>
      <w:rFonts w:hint="eastAsia" w:ascii="宋体" w:hAnsi="宋体" w:eastAsia="宋体" w:cs="宋体"/>
      <w:b/>
      <w:color w:val="000000"/>
      <w:sz w:val="18"/>
      <w:szCs w:val="18"/>
      <w:u w:val="none"/>
    </w:rPr>
  </w:style>
  <w:style w:type="character" w:customStyle="1" w:styleId="311">
    <w:name w:val="font41"/>
    <w:basedOn w:val="9"/>
    <w:qFormat/>
    <w:uiPriority w:val="0"/>
    <w:rPr>
      <w:rFonts w:hint="eastAsia" w:ascii="宋体" w:hAnsi="宋体" w:eastAsia="宋体" w:cs="宋体"/>
      <w:color w:val="000000"/>
      <w:sz w:val="20"/>
      <w:szCs w:val="20"/>
      <w:u w:val="none"/>
    </w:rPr>
  </w:style>
  <w:style w:type="character" w:customStyle="1" w:styleId="312">
    <w:name w:val="font91"/>
    <w:basedOn w:val="9"/>
    <w:qFormat/>
    <w:uiPriority w:val="0"/>
    <w:rPr>
      <w:rFonts w:hint="eastAsia" w:ascii="宋体" w:hAnsi="宋体" w:eastAsia="宋体" w:cs="宋体"/>
      <w:b/>
      <w:color w:val="000000"/>
      <w:sz w:val="18"/>
      <w:szCs w:val="18"/>
      <w:u w:val="none"/>
    </w:rPr>
  </w:style>
  <w:style w:type="character" w:customStyle="1" w:styleId="313">
    <w:name w:val="font261"/>
    <w:basedOn w:val="9"/>
    <w:qFormat/>
    <w:uiPriority w:val="0"/>
    <w:rPr>
      <w:rFonts w:hint="eastAsia" w:ascii="宋体" w:hAnsi="宋体" w:eastAsia="宋体" w:cs="宋体"/>
      <w:color w:val="000000"/>
      <w:sz w:val="18"/>
      <w:szCs w:val="18"/>
      <w:u w:val="none"/>
    </w:rPr>
  </w:style>
  <w:style w:type="character" w:customStyle="1" w:styleId="314">
    <w:name w:val="font201"/>
    <w:basedOn w:val="9"/>
    <w:qFormat/>
    <w:uiPriority w:val="0"/>
    <w:rPr>
      <w:rFonts w:hint="eastAsia" w:ascii="宋体" w:hAnsi="宋体" w:eastAsia="宋体" w:cs="宋体"/>
      <w:color w:val="000000"/>
      <w:sz w:val="18"/>
      <w:szCs w:val="18"/>
      <w:u w:val="none"/>
      <w:vertAlign w:val="superscript"/>
    </w:rPr>
  </w:style>
  <w:style w:type="character" w:customStyle="1" w:styleId="315">
    <w:name w:val="font81"/>
    <w:basedOn w:val="9"/>
    <w:qFormat/>
    <w:uiPriority w:val="0"/>
    <w:rPr>
      <w:rFonts w:hint="eastAsia" w:ascii="宋体" w:hAnsi="宋体" w:eastAsia="宋体" w:cs="宋体"/>
      <w:color w:val="000000"/>
      <w:sz w:val="18"/>
      <w:szCs w:val="18"/>
      <w:u w:val="none"/>
    </w:rPr>
  </w:style>
  <w:style w:type="character" w:customStyle="1" w:styleId="316">
    <w:name w:val="font191"/>
    <w:basedOn w:val="9"/>
    <w:qFormat/>
    <w:uiPriority w:val="0"/>
    <w:rPr>
      <w:rFonts w:hint="eastAsia" w:ascii="宋体" w:hAnsi="宋体" w:eastAsia="宋体" w:cs="宋体"/>
      <w:color w:val="000000"/>
      <w:sz w:val="18"/>
      <w:szCs w:val="18"/>
      <w:u w:val="none"/>
    </w:rPr>
  </w:style>
  <w:style w:type="character" w:customStyle="1" w:styleId="317">
    <w:name w:val="font71"/>
    <w:basedOn w:val="9"/>
    <w:qFormat/>
    <w:uiPriority w:val="0"/>
    <w:rPr>
      <w:rFonts w:hint="eastAsia" w:ascii="华文行楷" w:hAnsi="华文行楷" w:eastAsia="华文行楷" w:cs="华文行楷"/>
      <w:color w:val="000000"/>
      <w:sz w:val="18"/>
      <w:szCs w:val="18"/>
      <w:u w:val="none"/>
    </w:rPr>
  </w:style>
  <w:style w:type="paragraph" w:customStyle="1" w:styleId="3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9ACB7-E217-4A35-A056-C3FA0CEBF3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6358</Words>
  <Characters>6655</Characters>
  <Lines>42</Lines>
  <Paragraphs>11</Paragraphs>
  <TotalTime>3</TotalTime>
  <ScaleCrop>false</ScaleCrop>
  <LinksUpToDate>false</LinksUpToDate>
  <CharactersWithSpaces>6677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2019-10-09T02:27:00Z</dcterms:created>
  <dc:creator>文印室1</dc:creator>
  <cp:lastModifiedBy>杨帆</cp:lastModifiedBy>
  <cp:lastPrinted>2023-03-21T02:54:00Z</cp:lastPrinted>
  <dcterms:modified xsi:type="dcterms:W3CDTF">2024-08-05T01:57:37Z</dcterms:modified>
  <dc:title>富政办发〔2020〕 号</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A7D2F5CA9F03403DBDD033A226189FE7</vt:lpwstr>
  </property>
</Properties>
</file>