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jc w:val="center"/>
        <w:rPr>
          <w:rFonts w:hint="eastAsia"/>
          <w:sz w:val="44"/>
          <w:szCs w:val="40"/>
        </w:rPr>
      </w:pPr>
      <w:bookmarkStart w:id="0" w:name="_Toc19691414"/>
      <w:bookmarkStart w:id="1" w:name="_Toc18684"/>
      <w:r>
        <w:rPr>
          <w:rFonts w:hint="eastAsia"/>
          <w:sz w:val="44"/>
          <w:szCs w:val="40"/>
          <w:lang w:val="zh-CN"/>
        </w:rPr>
        <w:t>曲靖市富源县后所镇桂花水库</w:t>
      </w:r>
      <w:r>
        <w:rPr>
          <w:rFonts w:hint="eastAsia"/>
          <w:sz w:val="44"/>
          <w:szCs w:val="40"/>
        </w:rPr>
        <w:t>饮用水</w:t>
      </w:r>
    </w:p>
    <w:p>
      <w:pPr>
        <w:pStyle w:val="22"/>
        <w:jc w:val="center"/>
        <w:rPr>
          <w:sz w:val="44"/>
          <w:szCs w:val="40"/>
          <w:lang w:val="en-US"/>
        </w:rPr>
      </w:pPr>
      <w:r>
        <w:rPr>
          <w:rFonts w:hint="eastAsia"/>
          <w:sz w:val="44"/>
          <w:szCs w:val="40"/>
          <w:lang w:eastAsia="zh-CN"/>
        </w:rPr>
        <w:t>水</w:t>
      </w:r>
      <w:r>
        <w:rPr>
          <w:rFonts w:hint="eastAsia"/>
          <w:sz w:val="44"/>
          <w:szCs w:val="40"/>
        </w:rPr>
        <w:t>源保护区划分</w:t>
      </w:r>
      <w:bookmarkEnd w:id="0"/>
      <w:r>
        <w:rPr>
          <w:rFonts w:hint="eastAsia"/>
          <w:sz w:val="44"/>
          <w:szCs w:val="40"/>
          <w:lang w:eastAsia="zh-CN"/>
        </w:rPr>
        <w:t>方案</w:t>
      </w:r>
      <w:bookmarkEnd w:id="1"/>
    </w:p>
    <w:p>
      <w:pPr>
        <w:ind w:firstLine="480"/>
        <w:jc w:val="center"/>
      </w:pPr>
      <w:r>
        <w:rPr>
          <w:rFonts w:hint="eastAsia" w:eastAsia="仿宋"/>
          <w:b/>
          <w:color w:val="0D0D0D" w:themeColor="text1" w:themeTint="F2"/>
          <w:sz w:val="36"/>
          <w:szCs w:val="36"/>
          <w14:textFill>
            <w14:solidFill>
              <w14:schemeClr w14:val="tx1">
                <w14:lumMod w14:val="95000"/>
                <w14:lumOff w14:val="5000"/>
              </w14:schemeClr>
            </w14:solidFill>
          </w14:textFill>
        </w:rPr>
        <w:t>（报批稿）</w:t>
      </w: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9"/>
        <w:snapToGrid w:val="0"/>
        <w:spacing w:after="0"/>
        <w:ind w:left="0" w:leftChars="0" w:firstLine="1687" w:firstLineChars="600"/>
        <w:rPr>
          <w:rFonts w:cs="Times New Roman"/>
          <w:b/>
          <w:sz w:val="28"/>
          <w:szCs w:val="28"/>
        </w:rPr>
      </w:pPr>
    </w:p>
    <w:p>
      <w:pPr>
        <w:pStyle w:val="9"/>
        <w:snapToGrid w:val="0"/>
        <w:spacing w:after="0"/>
        <w:ind w:left="0" w:leftChars="0" w:firstLine="1687" w:firstLineChars="600"/>
        <w:rPr>
          <w:rFonts w:cs="Times New Roman"/>
          <w:b/>
          <w:sz w:val="28"/>
          <w:szCs w:val="28"/>
        </w:rPr>
      </w:pPr>
    </w:p>
    <w:p>
      <w:pPr>
        <w:pStyle w:val="9"/>
        <w:snapToGrid w:val="0"/>
        <w:spacing w:after="0"/>
        <w:ind w:left="0" w:leftChars="0" w:firstLine="1687" w:firstLineChars="600"/>
        <w:rPr>
          <w:rFonts w:cs="Times New Roman"/>
          <w:b/>
          <w:sz w:val="28"/>
          <w:szCs w:val="28"/>
        </w:rPr>
      </w:pPr>
    </w:p>
    <w:p>
      <w:pPr>
        <w:pStyle w:val="9"/>
        <w:snapToGrid w:val="0"/>
        <w:spacing w:after="0"/>
        <w:ind w:left="0" w:leftChars="0" w:firstLine="1687" w:firstLineChars="600"/>
        <w:rPr>
          <w:rFonts w:cs="Times New Roman"/>
          <w:b/>
          <w:sz w:val="28"/>
          <w:szCs w:val="28"/>
        </w:rPr>
      </w:pPr>
    </w:p>
    <w:p>
      <w:pPr>
        <w:pStyle w:val="9"/>
        <w:snapToGrid w:val="0"/>
        <w:spacing w:after="0"/>
        <w:ind w:left="0" w:leftChars="0" w:firstLine="1687" w:firstLineChars="600"/>
        <w:rPr>
          <w:rFonts w:cs="Times New Roman"/>
          <w:b/>
          <w:sz w:val="28"/>
          <w:szCs w:val="28"/>
        </w:rPr>
      </w:pPr>
    </w:p>
    <w:p>
      <w:pPr>
        <w:pStyle w:val="9"/>
        <w:snapToGrid w:val="0"/>
        <w:spacing w:after="0"/>
        <w:ind w:left="0" w:leftChars="0" w:firstLine="1687" w:firstLineChars="600"/>
        <w:rPr>
          <w:rFonts w:cs="Times New Roman"/>
          <w:b/>
          <w:sz w:val="28"/>
          <w:szCs w:val="28"/>
        </w:rPr>
      </w:pPr>
    </w:p>
    <w:p>
      <w:pPr>
        <w:pStyle w:val="9"/>
        <w:snapToGrid w:val="0"/>
        <w:spacing w:after="0"/>
        <w:ind w:left="0" w:leftChars="0" w:firstLine="1687" w:firstLineChars="600"/>
        <w:rPr>
          <w:rFonts w:cs="Times New Roman"/>
          <w:b/>
          <w:sz w:val="28"/>
          <w:szCs w:val="28"/>
        </w:rPr>
      </w:pPr>
    </w:p>
    <w:p>
      <w:pPr>
        <w:pStyle w:val="9"/>
        <w:snapToGrid w:val="0"/>
        <w:spacing w:after="0"/>
        <w:ind w:left="0" w:leftChars="0" w:firstLine="1687" w:firstLineChars="600"/>
        <w:rPr>
          <w:rFonts w:cs="Times New Roman"/>
          <w:b/>
          <w:sz w:val="28"/>
          <w:szCs w:val="28"/>
        </w:rPr>
      </w:pPr>
    </w:p>
    <w:p>
      <w:pPr>
        <w:pStyle w:val="9"/>
        <w:snapToGrid w:val="0"/>
        <w:spacing w:after="0"/>
        <w:ind w:left="0" w:leftChars="0" w:firstLine="1687" w:firstLineChars="600"/>
        <w:rPr>
          <w:rFonts w:cs="Times New Roman"/>
          <w:b/>
          <w:sz w:val="28"/>
          <w:szCs w:val="28"/>
        </w:rPr>
      </w:pPr>
    </w:p>
    <w:p>
      <w:pPr>
        <w:pStyle w:val="9"/>
        <w:snapToGrid w:val="0"/>
        <w:spacing w:after="0"/>
        <w:ind w:left="0" w:leftChars="0" w:firstLine="1687" w:firstLineChars="600"/>
        <w:rPr>
          <w:rFonts w:cs="Times New Roman"/>
          <w:b/>
          <w:sz w:val="28"/>
          <w:szCs w:val="28"/>
        </w:rPr>
      </w:pPr>
    </w:p>
    <w:p>
      <w:pPr>
        <w:pStyle w:val="9"/>
        <w:snapToGrid w:val="0"/>
        <w:spacing w:after="0"/>
        <w:ind w:left="0" w:leftChars="0" w:firstLine="1687" w:firstLineChars="600"/>
        <w:rPr>
          <w:rFonts w:hint="eastAsia" w:cs="Times New Roman"/>
          <w:b/>
          <w:sz w:val="28"/>
          <w:szCs w:val="28"/>
        </w:rPr>
      </w:pPr>
    </w:p>
    <w:p>
      <w:pPr>
        <w:pStyle w:val="51"/>
        <w:spacing w:line="360" w:lineRule="auto"/>
        <w:ind w:firstLine="0" w:firstLineChars="0"/>
        <w:jc w:val="center"/>
        <w:rPr>
          <w:rFonts w:hint="eastAsia" w:ascii="Times New Roman" w:hAnsi="Times New Roman" w:eastAsia="仿宋"/>
          <w:b/>
          <w:color w:val="0D0D0D" w:themeColor="text1" w:themeTint="F2"/>
          <w:sz w:val="32"/>
          <w:szCs w:val="24"/>
          <w14:textFill>
            <w14:solidFill>
              <w14:schemeClr w14:val="tx1">
                <w14:lumMod w14:val="95000"/>
                <w14:lumOff w14:val="5000"/>
              </w14:schemeClr>
            </w14:solidFill>
          </w14:textFill>
        </w:rPr>
      </w:pPr>
    </w:p>
    <w:p>
      <w:pPr>
        <w:pStyle w:val="51"/>
        <w:spacing w:line="360" w:lineRule="auto"/>
        <w:ind w:firstLine="0" w:firstLineChars="0"/>
        <w:jc w:val="center"/>
        <w:rPr>
          <w:rFonts w:hint="eastAsia" w:ascii="Times New Roman" w:hAnsi="Times New Roman" w:eastAsia="仿宋"/>
          <w:b/>
          <w:color w:val="0D0D0D" w:themeColor="text1" w:themeTint="F2"/>
          <w:sz w:val="32"/>
          <w:szCs w:val="24"/>
          <w14:textFill>
            <w14:solidFill>
              <w14:schemeClr w14:val="tx1">
                <w14:lumMod w14:val="95000"/>
                <w14:lumOff w14:val="5000"/>
              </w14:schemeClr>
            </w14:solidFill>
          </w14:textFill>
        </w:rPr>
      </w:pPr>
    </w:p>
    <w:p>
      <w:pPr>
        <w:pStyle w:val="51"/>
        <w:spacing w:line="360" w:lineRule="auto"/>
        <w:ind w:firstLine="0" w:firstLineChars="0"/>
        <w:jc w:val="center"/>
        <w:rPr>
          <w:rFonts w:ascii="Times New Roman" w:hAnsi="Times New Roman" w:eastAsia="仿宋"/>
          <w:b/>
          <w:color w:val="0D0D0D" w:themeColor="text1" w:themeTint="F2"/>
          <w:sz w:val="32"/>
          <w:szCs w:val="24"/>
          <w14:textFill>
            <w14:solidFill>
              <w14:schemeClr w14:val="tx1">
                <w14:lumMod w14:val="95000"/>
                <w14:lumOff w14:val="5000"/>
              </w14:schemeClr>
            </w14:solidFill>
          </w14:textFill>
        </w:rPr>
      </w:pPr>
      <w:r>
        <w:rPr>
          <w:rFonts w:hint="eastAsia" w:ascii="Times New Roman" w:hAnsi="Times New Roman" w:eastAsia="仿宋"/>
          <w:b/>
          <w:color w:val="0D0D0D" w:themeColor="text1" w:themeTint="F2"/>
          <w:sz w:val="32"/>
          <w:szCs w:val="24"/>
          <w14:textFill>
            <w14:solidFill>
              <w14:schemeClr w14:val="tx1">
                <w14:lumMod w14:val="95000"/>
                <w14:lumOff w14:val="5000"/>
              </w14:schemeClr>
            </w14:solidFill>
          </w14:textFill>
        </w:rPr>
        <w:t>富源县人民政府</w:t>
      </w:r>
    </w:p>
    <w:p>
      <w:pPr>
        <w:jc w:val="center"/>
        <w:rPr>
          <w:rFonts w:ascii="Times New Roman" w:hAnsi="Times New Roman" w:eastAsia="仿宋"/>
          <w:b/>
          <w:color w:val="0D0D0D" w:themeColor="text1" w:themeTint="F2"/>
          <w:sz w:val="32"/>
          <w:szCs w:val="24"/>
          <w14:textFill>
            <w14:solidFill>
              <w14:schemeClr w14:val="tx1">
                <w14:lumMod w14:val="95000"/>
                <w14:lumOff w14:val="5000"/>
              </w14:schemeClr>
            </w14:solidFill>
          </w14:textFill>
        </w:rPr>
      </w:pPr>
      <w:r>
        <w:rPr>
          <w:rFonts w:ascii="Times New Roman" w:hAnsi="Times New Roman" w:eastAsia="仿宋"/>
          <w:b/>
          <w:color w:val="0D0D0D" w:themeColor="text1" w:themeTint="F2"/>
          <w:sz w:val="32"/>
          <w:szCs w:val="24"/>
          <w14:textFill>
            <w14:solidFill>
              <w14:schemeClr w14:val="tx1">
                <w14:lumMod w14:val="95000"/>
                <w14:lumOff w14:val="5000"/>
              </w14:schemeClr>
            </w14:solidFill>
          </w14:textFill>
        </w:rPr>
        <w:t>201</w:t>
      </w:r>
      <w:r>
        <w:rPr>
          <w:rFonts w:hint="eastAsia" w:ascii="Times New Roman" w:hAnsi="Times New Roman" w:eastAsia="仿宋"/>
          <w:b/>
          <w:color w:val="0D0D0D" w:themeColor="text1" w:themeTint="F2"/>
          <w:sz w:val="32"/>
          <w:szCs w:val="24"/>
          <w14:textFill>
            <w14:solidFill>
              <w14:schemeClr w14:val="tx1">
                <w14:lumMod w14:val="95000"/>
                <w14:lumOff w14:val="5000"/>
              </w14:schemeClr>
            </w14:solidFill>
          </w14:textFill>
        </w:rPr>
        <w:t>9</w:t>
      </w:r>
      <w:r>
        <w:rPr>
          <w:rFonts w:ascii="Times New Roman" w:hAnsi="Times New Roman" w:eastAsia="仿宋"/>
          <w:b/>
          <w:color w:val="0D0D0D" w:themeColor="text1" w:themeTint="F2"/>
          <w:sz w:val="32"/>
          <w:szCs w:val="24"/>
          <w14:textFill>
            <w14:solidFill>
              <w14:schemeClr w14:val="tx1">
                <w14:lumMod w14:val="95000"/>
                <w14:lumOff w14:val="5000"/>
              </w14:schemeClr>
            </w14:solidFill>
          </w14:textFill>
        </w:rPr>
        <w:t>年12月</w:t>
      </w:r>
    </w:p>
    <w:p>
      <w:pPr>
        <w:pStyle w:val="2"/>
        <w:ind w:firstLine="562"/>
        <w:jc w:val="center"/>
        <w:rPr>
          <w:rFonts w:hint="default"/>
          <w:b/>
          <w:bCs/>
          <w:sz w:val="28"/>
          <w:szCs w:val="28"/>
        </w:rPr>
      </w:pPr>
    </w:p>
    <w:p>
      <w:pPr>
        <w:pStyle w:val="2"/>
        <w:ind w:firstLine="562"/>
        <w:jc w:val="center"/>
        <w:rPr>
          <w:rFonts w:hint="default"/>
          <w:b/>
          <w:bCs/>
          <w:sz w:val="28"/>
          <w:szCs w:val="28"/>
        </w:rPr>
      </w:pPr>
      <w:r>
        <w:rPr>
          <w:b/>
          <w:bCs/>
          <w:sz w:val="28"/>
          <w:szCs w:val="28"/>
        </w:rPr>
        <w:t>目录</w:t>
      </w:r>
    </w:p>
    <w:sdt>
      <w:sdtPr>
        <w:rPr>
          <w:rFonts w:ascii="宋体" w:hAnsi="宋体" w:cstheme="minorBidi"/>
          <w:kern w:val="2"/>
          <w:sz w:val="21"/>
          <w:szCs w:val="22"/>
        </w:rPr>
        <w:id w:val="191348247"/>
      </w:sdtPr>
      <w:sdtEndPr>
        <w:rPr>
          <w:rFonts w:ascii="Calibri" w:hAnsi="Calibri" w:cs="Times New Roman"/>
          <w:kern w:val="2"/>
          <w:sz w:val="21"/>
          <w:szCs w:val="22"/>
        </w:rPr>
      </w:sdtEndPr>
      <w:sdtContent>
        <w:p>
          <w:pPr>
            <w:pStyle w:val="38"/>
            <w:tabs>
              <w:tab w:val="right" w:leader="dot" w:pos="8306"/>
            </w:tabs>
            <w:spacing w:line="720" w:lineRule="auto"/>
            <w:rPr>
              <w:rFonts w:ascii="Calibri" w:hAnsi="Calibri" w:eastAsia="宋体" w:cs="Times New Roman"/>
              <w:lang w:val="en-US" w:eastAsia="zh-CN" w:bidi="ar-SA"/>
            </w:rPr>
          </w:pPr>
          <w:bookmarkStart w:id="2" w:name="_Toc28375_WPSOffice_Type1"/>
          <w:r>
            <w:rPr>
              <w:rFonts w:ascii="宋体" w:hAnsi="宋体" w:cstheme="minorBidi"/>
              <w:kern w:val="2"/>
              <w:sz w:val="21"/>
              <w:szCs w:val="22"/>
            </w:rPr>
            <w:fldChar w:fldCharType="begin"/>
          </w:r>
          <w:r>
            <w:rPr>
              <w:rFonts w:ascii="宋体" w:hAnsi="宋体" w:cstheme="minorBidi"/>
              <w:kern w:val="2"/>
              <w:sz w:val="21"/>
              <w:szCs w:val="22"/>
            </w:rPr>
            <w:instrText xml:space="preserve">TOC \o "1-3" \h \u </w:instrText>
          </w:r>
          <w:r>
            <w:rPr>
              <w:rFonts w:ascii="宋体" w:hAnsi="宋体" w:cstheme="minorBidi"/>
              <w:kern w:val="2"/>
              <w:sz w:val="21"/>
              <w:szCs w:val="22"/>
            </w:rPr>
            <w:fldChar w:fldCharType="separate"/>
          </w:r>
        </w:p>
        <w:p>
          <w:pPr>
            <w:pStyle w:val="16"/>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_Toc25614 </w:instrText>
          </w:r>
          <w:r>
            <w:rPr>
              <w:rFonts w:ascii="宋体" w:hAnsi="宋体" w:eastAsia="宋体" w:cstheme="minorBidi"/>
              <w:kern w:val="2"/>
              <w:szCs w:val="22"/>
              <w:lang w:val="en-US" w:eastAsia="zh-CN" w:bidi="ar-SA"/>
            </w:rPr>
            <w:fldChar w:fldCharType="separate"/>
          </w:r>
          <w:r>
            <w:rPr>
              <w:rFonts w:hint="eastAsia" w:ascii="Calibri" w:hAnsi="Calibri" w:eastAsia="宋体" w:cs="Times New Roman"/>
              <w:lang w:val="en-US" w:eastAsia="zh-CN" w:bidi="ar-SA"/>
            </w:rPr>
            <w:t>第一章  总则</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_Toc25614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1</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9"/>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_Toc5033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 xml:space="preserve">1.1  </w:t>
          </w:r>
          <w:r>
            <w:rPr>
              <w:rFonts w:hint="eastAsia" w:ascii="Calibri" w:hAnsi="Calibri" w:eastAsia="宋体" w:cs="Times New Roman"/>
              <w:lang w:val="en-US" w:eastAsia="zh-CN" w:bidi="ar-SA"/>
            </w:rPr>
            <w:t>划分目的</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_Toc5033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1</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9"/>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_Toc13655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1.2  划分依据</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_Toc13655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2</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1"/>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_Toc26108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1.2.1  相关法律法规</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_Toc26108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2</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1"/>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_Toc23920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1.2.2  相关规划</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_Toc23920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3</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9"/>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_Toc15266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1.3  技术路线</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_Toc15266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3</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1"/>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_Toc29006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1.3.1  技术步骤</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_Toc29006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3</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1"/>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_Toc17840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1.3.2  调查方案</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_Toc17840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4</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1"/>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_Toc30156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1.3.3  数据质量控制</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_Toc30156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5</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6"/>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_Toc30050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第二章  区域自然环境和社会经济状况</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_Toc30050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6</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9"/>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_Toc16338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2.1  自然环境状况</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_Toc16338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6</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1"/>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_Toc23065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2.1.1  地理位置</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_Toc23065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6</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1"/>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_Toc24307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2.1.2  地质地貌</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_Toc24307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6</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1"/>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_Toc21510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2.1.3  气候气象</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_Toc21510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6</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1"/>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_Toc11739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2.1.4  土壤状况</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_Toc11739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7</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1"/>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_Toc26975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2.1.5  植被资源</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_Toc26975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7</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1"/>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_Toc16189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2.1.6  水文水系</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_Toc16189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8</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9"/>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_Toc14869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2.2  社会经济状况</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_Toc14869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9</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1"/>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_Toc21283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2.2.1  行政区划</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_Toc21283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9</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1"/>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_Toc11877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2.2.2  人口状况</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_Toc11877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9</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1"/>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_Toc8142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2.2.3  经济发展状况</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_Toc8142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9</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9"/>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_Toc7862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2.3  土地使用现状</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_Toc7862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11</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9"/>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_Toc21128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2.4  规划现状</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_Toc21128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12</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6"/>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_Toc26529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第三章  水源地基础环境质量</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_Toc26529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13</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9"/>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_Toc4120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3.1  饮用水源地现状</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_Toc4120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13</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9"/>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_Toc13088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3.2  饮用水源地水质评价</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_Toc13088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14</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9"/>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_Toc14770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3.3  饮用水源地周边及上游污染源调查</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_Toc14770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14</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9"/>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_Toc18475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3.4  饮用水水源地水环境风险分析</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_Toc18475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16</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6"/>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_Toc8865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第四章  保护区划分与定界</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_Toc8865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17</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9"/>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_Toc31825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4.1  水环境功能</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_Toc31825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17</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9"/>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_Toc1015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4.2  保护区划分原则</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_Toc1015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17</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9"/>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_Toc32531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4.3  划分方案</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_Toc32531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17</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1"/>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_Toc9990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4.3.1  一级保护区划分方案</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_Toc9990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17</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1"/>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_Toc13571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4.3.2  二级保护区划分方案</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_Toc13571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18</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9"/>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_Toc17531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4.4  保护区定界方案和技术说明</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_Toc17531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18</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1"/>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_Toc18680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4.4.1  一级保护区定界方案</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_Toc18680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18</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1"/>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_Toc17729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4.4.2  二级保护区定界方案</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_Toc17729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18</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9"/>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_Toc3036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4.5  保护区内土地利用现状</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_Toc3036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20</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6"/>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_Toc15260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第五章</w:t>
          </w:r>
          <w:r>
            <w:rPr>
              <w:rFonts w:hint="eastAsia" w:ascii="Calibri" w:hAnsi="Calibri" w:eastAsia="宋体" w:cs="Times New Roman"/>
              <w:lang w:val="en-US" w:eastAsia="zh-CN" w:bidi="ar-SA"/>
            </w:rPr>
            <w:t xml:space="preserve"> </w:t>
          </w:r>
          <w:r>
            <w:rPr>
              <w:rFonts w:ascii="Calibri" w:hAnsi="Calibri" w:eastAsia="宋体" w:cs="Times New Roman"/>
              <w:lang w:val="en-US" w:eastAsia="zh-CN" w:bidi="ar-SA"/>
            </w:rPr>
            <w:t xml:space="preserve"> 保护区规范化建设与管理要求</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_Toc15260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22</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9"/>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_Toc16342 </w:instrText>
          </w:r>
          <w:r>
            <w:rPr>
              <w:rFonts w:ascii="宋体" w:hAnsi="宋体" w:eastAsia="宋体" w:cstheme="minorBidi"/>
              <w:kern w:val="2"/>
              <w:szCs w:val="22"/>
              <w:lang w:val="en-US" w:eastAsia="zh-CN" w:bidi="ar-SA"/>
            </w:rPr>
            <w:fldChar w:fldCharType="separate"/>
          </w:r>
          <w:r>
            <w:rPr>
              <w:rFonts w:hint="eastAsia" w:ascii="Calibri" w:hAnsi="Calibri" w:eastAsia="宋体" w:cs="Times New Roman"/>
              <w:szCs w:val="24"/>
              <w:lang w:val="en-US" w:eastAsia="zh-CN" w:bidi="ar-SA"/>
            </w:rPr>
            <w:t>5</w:t>
          </w:r>
          <w:r>
            <w:rPr>
              <w:rFonts w:ascii="Calibri" w:hAnsi="Calibri" w:eastAsia="宋体" w:cs="Times New Roman"/>
              <w:szCs w:val="24"/>
              <w:lang w:val="en-US" w:eastAsia="zh-CN" w:bidi="ar-SA"/>
            </w:rPr>
            <w:t xml:space="preserve">.1  </w:t>
          </w:r>
          <w:r>
            <w:rPr>
              <w:rFonts w:hint="eastAsia" w:ascii="Calibri" w:hAnsi="Calibri" w:eastAsia="宋体" w:cs="Times New Roman"/>
              <w:lang w:val="en-US" w:eastAsia="zh-CN" w:bidi="ar-SA"/>
            </w:rPr>
            <w:t>法律法规体系建设</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_Toc16342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22</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9"/>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_Toc24103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5.2  监测能力建设</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_Toc24103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22</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9"/>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_Toc4581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5.3  治理方面措施</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_Toc4581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22</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9"/>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_Toc23437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5.4  环境管理措施</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_Toc23437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23</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9"/>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_Toc23840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5.5  制度管理措施</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_Toc23840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23</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9"/>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_Toc21812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5.6  保护区管理措施</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_Toc21812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23</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9"/>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_Toc27965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5.7  保护区建设投资估算</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_Toc27965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24</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1"/>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_Toc64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 xml:space="preserve">5.7.1  </w:t>
          </w:r>
          <w:r>
            <w:rPr>
              <w:rFonts w:ascii="Calibri" w:hAnsi="Calibri" w:eastAsia="宋体" w:cs="Times New Roman"/>
              <w:color w:val="000000"/>
              <w:shd w:val="clear" w:color="auto" w:fill="FFFFFF"/>
              <w:lang w:val="en-US" w:eastAsia="zh-CN" w:bidi="ar-SA"/>
            </w:rPr>
            <w:t>保护标志投资</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_Toc64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24</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1"/>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_Toc25103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 xml:space="preserve">5.7.2  </w:t>
          </w:r>
          <w:r>
            <w:rPr>
              <w:rFonts w:hint="eastAsia" w:ascii="Calibri" w:hAnsi="Calibri" w:eastAsia="宋体" w:cs="Times New Roman"/>
              <w:shd w:val="clear" w:color="auto" w:fill="FFFFFF"/>
              <w:lang w:val="en-US" w:eastAsia="zh-CN" w:bidi="ar-SA"/>
            </w:rPr>
            <w:t>保护隔离防护投资</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_Toc25103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24</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1"/>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_Toc10123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5.7.2  耕地恢复成林地</w:t>
          </w:r>
          <w:r>
            <w:rPr>
              <w:rFonts w:ascii="Calibri" w:hAnsi="Calibri" w:eastAsia="宋体" w:cs="Times New Roman"/>
              <w:color w:val="000000"/>
              <w:shd w:val="clear" w:color="auto" w:fill="FFFFFF"/>
              <w:lang w:val="en-US" w:eastAsia="zh-CN" w:bidi="ar-SA"/>
            </w:rPr>
            <w:t>投资</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_Toc10123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25</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1"/>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_Toc9231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5.7.3  道路排水沟投资</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_Toc9231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25</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1"/>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_Toc24202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5.7.4  总投资</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_Toc24202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25</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6"/>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_Toc6713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第六章</w:t>
          </w:r>
          <w:r>
            <w:rPr>
              <w:rFonts w:hint="eastAsia" w:ascii="Calibri" w:hAnsi="Calibri" w:eastAsia="宋体" w:cs="Times New Roman"/>
              <w:lang w:val="en-US" w:eastAsia="zh-CN" w:bidi="ar-SA"/>
            </w:rPr>
            <w:t xml:space="preserve"> </w:t>
          </w:r>
          <w:r>
            <w:rPr>
              <w:rFonts w:ascii="Calibri" w:hAnsi="Calibri" w:eastAsia="宋体" w:cs="Times New Roman"/>
              <w:lang w:val="en-US" w:eastAsia="zh-CN" w:bidi="ar-SA"/>
            </w:rPr>
            <w:t xml:space="preserve"> 结论和建议</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_Toc6713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26</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9"/>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_Toc29753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6.1  结论</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_Toc29753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26</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1"/>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_Toc5057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6.1.1  区域自然环境和社会环境调查结论</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_Toc5057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26</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1"/>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_Toc28290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6.1.2  饮用水源地保护区环境质量调查结论</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_Toc28290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26</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1"/>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_Toc11365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6.1.3  饮用水源保护区生态环境及污染源调查结论</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_Toc11365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26</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1"/>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_Toc22970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6.1.4  水环境功能区与水源保护区划分结论</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_Toc22970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27</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1"/>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_Toc26734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6.1.5  饮用水源环境管理状况调查结论</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_Toc26734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27</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9"/>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_Toc21802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6.2  问题及建议</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_Toc21802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28</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1"/>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_Toc28062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6.2.1  严厉查处饮用水源污染违法行为</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_Toc28062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28</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1"/>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_Toc19646 </w:instrText>
          </w:r>
          <w:r>
            <w:rPr>
              <w:rFonts w:ascii="宋体" w:hAnsi="宋体" w:eastAsia="宋体" w:cstheme="minorBidi"/>
              <w:kern w:val="2"/>
              <w:szCs w:val="22"/>
              <w:lang w:val="en-US" w:eastAsia="zh-CN" w:bidi="ar-SA"/>
            </w:rPr>
            <w:fldChar w:fldCharType="separate"/>
          </w:r>
          <w:r>
            <w:rPr>
              <w:rFonts w:ascii="Calibri" w:hAnsi="Calibri" w:eastAsia="宋体" w:cs="Times New Roman"/>
              <w:szCs w:val="24"/>
              <w:lang w:val="en-US" w:eastAsia="zh-CN" w:bidi="ar-SA"/>
            </w:rPr>
            <w:t>6.2.2  对饮用水源保护区要严格监管</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_Toc19646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28</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1"/>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_Toc10391 </w:instrText>
          </w:r>
          <w:r>
            <w:rPr>
              <w:rFonts w:ascii="宋体" w:hAnsi="宋体" w:eastAsia="宋体" w:cstheme="minorBidi"/>
              <w:kern w:val="2"/>
              <w:szCs w:val="22"/>
              <w:lang w:val="en-US" w:eastAsia="zh-CN" w:bidi="ar-SA"/>
            </w:rPr>
            <w:fldChar w:fldCharType="separate"/>
          </w:r>
          <w:r>
            <w:rPr>
              <w:rFonts w:ascii="Calibri" w:hAnsi="Calibri" w:eastAsia="宋体" w:cs="Times New Roman"/>
              <w:szCs w:val="24"/>
              <w:lang w:val="en-US" w:eastAsia="zh-CN" w:bidi="ar-SA"/>
            </w:rPr>
            <w:t>6.2.3  项目审批要严守生态和发展两条底线</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_Toc10391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28</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1"/>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_Toc4433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6.2.4  完善风险源应急机制</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_Toc4433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28</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1"/>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_Toc27270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6.2.5  加强对径流区范围内的环境综合整治</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_Toc27270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28</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1"/>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_Toc19501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6.2.6  完善饮用水源地保护区内的标示标牌工作</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_Toc19501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29</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1"/>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_Toc28599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6.2.7  强化部门间联动协作机制，提高执法能力</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_Toc28599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29</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1"/>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_Toc6893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6.2.8  加大宣传保护及公众参与机制</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_Toc6893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29</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38"/>
            <w:tabs>
              <w:tab w:val="right" w:leader="dot" w:pos="8306"/>
            </w:tabs>
            <w:spacing w:line="720" w:lineRule="auto"/>
            <w:rPr>
              <w:rFonts w:ascii="宋体" w:hAnsi="宋体" w:cstheme="minorBidi"/>
              <w:kern w:val="2"/>
              <w:sz w:val="21"/>
              <w:szCs w:val="22"/>
            </w:rPr>
          </w:pPr>
          <w:r>
            <w:rPr>
              <w:rFonts w:ascii="宋体" w:hAnsi="宋体" w:eastAsia="宋体" w:cstheme="minorBidi"/>
              <w:kern w:val="2"/>
              <w:szCs w:val="22"/>
              <w:lang w:val="en-US" w:eastAsia="zh-CN" w:bidi="ar-SA"/>
            </w:rPr>
            <w:fldChar w:fldCharType="end"/>
          </w:r>
        </w:p>
        <w:p>
          <w:pPr>
            <w:pStyle w:val="38"/>
            <w:tabs>
              <w:tab w:val="right" w:leader="dot" w:pos="8306"/>
            </w:tabs>
            <w:spacing w:line="720" w:lineRule="auto"/>
          </w:pPr>
        </w:p>
      </w:sdtContent>
    </w:sdt>
    <w:bookmarkEnd w:id="2"/>
    <w:p>
      <w:pPr>
        <w:pStyle w:val="38"/>
        <w:tabs>
          <w:tab w:val="right" w:leader="dot" w:pos="8306"/>
        </w:tabs>
        <w:rPr>
          <w:rFonts w:ascii="宋体" w:hAnsi="宋体"/>
          <w:sz w:val="21"/>
        </w:rPr>
      </w:pPr>
    </w:p>
    <w:sdt>
      <w:sdtPr>
        <w:rPr>
          <w:rFonts w:ascii="宋体" w:hAnsi="宋体" w:cstheme="minorBidi"/>
          <w:kern w:val="2"/>
          <w:sz w:val="21"/>
          <w:szCs w:val="22"/>
        </w:rPr>
        <w:id w:val="1490683667"/>
      </w:sdtPr>
      <w:sdtEndPr>
        <w:rPr>
          <w:rFonts w:ascii="Calibri" w:hAnsi="Calibri" w:cs="Times New Roman"/>
          <w:kern w:val="2"/>
          <w:sz w:val="20"/>
          <w:szCs w:val="20"/>
        </w:rPr>
      </w:sdtEndPr>
      <w:sdtContent>
        <w:p>
          <w:pPr>
            <w:pStyle w:val="38"/>
            <w:tabs>
              <w:tab w:val="right" w:leader="dot" w:pos="8306"/>
            </w:tabs>
          </w:pPr>
        </w:p>
        <w:p>
          <w:pPr>
            <w:ind w:firstLine="400"/>
            <w:jc w:val="left"/>
            <w:rPr>
              <w:rFonts w:cs="Times New Roman"/>
              <w:b/>
              <w:bCs/>
            </w:rPr>
          </w:pPr>
        </w:p>
      </w:sdtContent>
    </w:sdt>
    <w:p>
      <w:pPr>
        <w:ind w:firstLine="482"/>
        <w:jc w:val="left"/>
        <w:rPr>
          <w:rFonts w:cs="Times New Roman"/>
          <w:b/>
          <w:bCs/>
        </w:rPr>
      </w:pPr>
      <w:bookmarkStart w:id="3" w:name="_Toc3497_WPSOffice_Level1"/>
    </w:p>
    <w:p>
      <w:pPr>
        <w:ind w:firstLine="482"/>
        <w:jc w:val="left"/>
        <w:rPr>
          <w:rFonts w:cs="Times New Roman"/>
          <w:b/>
          <w:bCs/>
        </w:rPr>
      </w:pPr>
    </w:p>
    <w:p>
      <w:pPr>
        <w:ind w:firstLine="482"/>
        <w:jc w:val="left"/>
        <w:rPr>
          <w:rFonts w:cs="Times New Roman"/>
          <w:b/>
          <w:bCs/>
        </w:rPr>
      </w:pPr>
    </w:p>
    <w:p>
      <w:pPr>
        <w:ind w:firstLine="482"/>
        <w:jc w:val="left"/>
        <w:rPr>
          <w:rFonts w:cs="Times New Roman"/>
          <w:b/>
          <w:bCs/>
        </w:rPr>
      </w:pPr>
    </w:p>
    <w:p>
      <w:pPr>
        <w:ind w:firstLine="482"/>
        <w:jc w:val="left"/>
        <w:rPr>
          <w:rFonts w:cs="Times New Roman"/>
          <w:b/>
          <w:bCs/>
        </w:rPr>
      </w:pPr>
    </w:p>
    <w:p>
      <w:pPr>
        <w:ind w:firstLine="482"/>
        <w:jc w:val="left"/>
        <w:rPr>
          <w:rFonts w:cs="Times New Roman"/>
          <w:b/>
          <w:bCs/>
        </w:rPr>
      </w:pPr>
    </w:p>
    <w:p>
      <w:pPr>
        <w:ind w:firstLine="482"/>
        <w:jc w:val="left"/>
        <w:rPr>
          <w:rFonts w:cs="Times New Roman"/>
          <w:b/>
          <w:bCs/>
        </w:rPr>
      </w:pPr>
    </w:p>
    <w:p>
      <w:pPr>
        <w:ind w:firstLine="482"/>
        <w:jc w:val="left"/>
        <w:rPr>
          <w:rFonts w:cs="Times New Roman"/>
          <w:b/>
          <w:bCs/>
        </w:rPr>
      </w:pPr>
    </w:p>
    <w:p>
      <w:pPr>
        <w:ind w:firstLine="482"/>
        <w:jc w:val="left"/>
        <w:rPr>
          <w:rFonts w:cs="Times New Roman"/>
          <w:b/>
          <w:bCs/>
        </w:rPr>
      </w:pPr>
    </w:p>
    <w:p>
      <w:pPr>
        <w:ind w:firstLine="482"/>
        <w:jc w:val="left"/>
        <w:rPr>
          <w:rFonts w:cs="Times New Roman"/>
          <w:b/>
          <w:bCs/>
        </w:rPr>
      </w:pPr>
    </w:p>
    <w:p>
      <w:pPr>
        <w:ind w:firstLine="482"/>
        <w:jc w:val="left"/>
        <w:rPr>
          <w:rFonts w:cs="Times New Roman"/>
          <w:b/>
          <w:bCs/>
        </w:rPr>
      </w:pPr>
    </w:p>
    <w:p>
      <w:pPr>
        <w:ind w:firstLine="482"/>
        <w:jc w:val="left"/>
        <w:rPr>
          <w:rFonts w:cs="Times New Roman"/>
          <w:b/>
          <w:bCs/>
        </w:rPr>
      </w:pPr>
    </w:p>
    <w:p>
      <w:pPr>
        <w:ind w:firstLine="482"/>
        <w:jc w:val="left"/>
        <w:rPr>
          <w:rFonts w:cs="Times New Roman"/>
          <w:b/>
          <w:bCs/>
        </w:rPr>
      </w:pPr>
      <w:bookmarkStart w:id="4" w:name="_Toc1760_WPSOffice_Level1"/>
      <w:bookmarkStart w:id="5" w:name="_Toc1926_WPSOffice_Level1"/>
      <w:r>
        <w:rPr>
          <w:rFonts w:cs="Times New Roman"/>
          <w:b/>
          <w:bCs/>
        </w:rPr>
        <w:t>附件：</w:t>
      </w:r>
      <w:bookmarkEnd w:id="3"/>
      <w:bookmarkEnd w:id="4"/>
      <w:bookmarkEnd w:id="5"/>
    </w:p>
    <w:p>
      <w:pPr>
        <w:ind w:firstLine="480"/>
      </w:pPr>
      <w:bookmarkStart w:id="6" w:name="_Toc32172_WPSOffice_Level1"/>
      <w:bookmarkStart w:id="7" w:name="_Toc16666_WPSOffice_Level1"/>
      <w:bookmarkStart w:id="8" w:name="_Toc21974_WPSOffice_Level1"/>
      <w:bookmarkStart w:id="9" w:name="_Toc5802_WPSOffice_Level1"/>
      <w:bookmarkStart w:id="10" w:name="_Toc38_WPSOffice_Level1"/>
      <w:r>
        <w:t xml:space="preserve">附件1  </w:t>
      </w:r>
      <w:bookmarkEnd w:id="6"/>
      <w:bookmarkStart w:id="11" w:name="_Toc10064_WPSOffice_Level1"/>
      <w:r>
        <w:t>“千吨万人”千吨万人及县级以上集中式饮用水源保护区划分（调整）方案申报资料清单</w:t>
      </w:r>
      <w:bookmarkEnd w:id="7"/>
      <w:bookmarkEnd w:id="8"/>
      <w:bookmarkEnd w:id="9"/>
      <w:bookmarkEnd w:id="10"/>
    </w:p>
    <w:p>
      <w:pPr>
        <w:ind w:firstLine="480"/>
      </w:pPr>
      <w:bookmarkStart w:id="12" w:name="_Toc9402_WPSOffice_Level1"/>
      <w:bookmarkStart w:id="13" w:name="_Toc17914_WPSOffice_Level1"/>
      <w:bookmarkStart w:id="14" w:name="_Toc10235_WPSOffice_Level1"/>
      <w:bookmarkStart w:id="15" w:name="_Toc23642_WPSOffice_Level1"/>
      <w:r>
        <w:t>附件</w:t>
      </w:r>
      <w:r>
        <w:rPr>
          <w:rFonts w:hint="eastAsia"/>
        </w:rPr>
        <w:t>2</w:t>
      </w:r>
      <w:r>
        <w:t xml:space="preserve">  201</w:t>
      </w:r>
      <w:r>
        <w:rPr>
          <w:rFonts w:hint="eastAsia"/>
        </w:rPr>
        <w:t>9</w:t>
      </w:r>
      <w:r>
        <w:t>年</w:t>
      </w:r>
      <w:r>
        <w:rPr>
          <w:rFonts w:hint="eastAsia"/>
        </w:rPr>
        <w:t>水质</w:t>
      </w:r>
      <w:r>
        <w:t>检测报告</w:t>
      </w:r>
      <w:bookmarkEnd w:id="11"/>
      <w:bookmarkEnd w:id="12"/>
      <w:bookmarkEnd w:id="13"/>
      <w:bookmarkEnd w:id="14"/>
      <w:bookmarkEnd w:id="15"/>
    </w:p>
    <w:p>
      <w:pPr>
        <w:ind w:firstLine="480"/>
      </w:pPr>
      <w:bookmarkStart w:id="16" w:name="_Toc8427_WPSOffice_Level1"/>
      <w:r>
        <w:rPr>
          <w:rFonts w:hint="eastAsia"/>
        </w:rPr>
        <w:t>附件3</w:t>
      </w:r>
      <w:r>
        <w:t xml:space="preserve">  </w:t>
      </w:r>
      <w:bookmarkStart w:id="17" w:name="_Hlk23060105"/>
      <w:r>
        <w:rPr>
          <w:rFonts w:hint="eastAsia"/>
        </w:rPr>
        <w:t>饮用水水源地环境状况调查表</w:t>
      </w:r>
      <w:bookmarkEnd w:id="16"/>
      <w:bookmarkEnd w:id="17"/>
    </w:p>
    <w:p>
      <w:pPr>
        <w:ind w:firstLine="480"/>
        <w:rPr>
          <w:rFonts w:cs="Times New Roman"/>
        </w:rPr>
      </w:pPr>
    </w:p>
    <w:p>
      <w:pPr>
        <w:ind w:firstLine="480"/>
        <w:rPr>
          <w:rFonts w:cs="Times New Roman"/>
        </w:rPr>
      </w:pPr>
    </w:p>
    <w:p>
      <w:pPr>
        <w:ind w:firstLine="482"/>
        <w:rPr>
          <w:rFonts w:cs="Times New Roman"/>
          <w:b/>
          <w:bCs/>
        </w:rPr>
      </w:pPr>
      <w:bookmarkStart w:id="18" w:name="_Toc8865_WPSOffice_Level1"/>
      <w:bookmarkStart w:id="19" w:name="_Toc8255_WPSOffice_Level1"/>
      <w:bookmarkStart w:id="20" w:name="_Toc28424_WPSOffice_Level1"/>
      <w:r>
        <w:rPr>
          <w:rFonts w:cs="Times New Roman"/>
          <w:b/>
          <w:bCs/>
        </w:rPr>
        <w:t>附图：</w:t>
      </w:r>
      <w:bookmarkEnd w:id="18"/>
      <w:bookmarkEnd w:id="19"/>
      <w:bookmarkEnd w:id="20"/>
    </w:p>
    <w:p>
      <w:pPr>
        <w:ind w:firstLine="480"/>
        <w:rPr>
          <w:b/>
          <w:bCs/>
        </w:rPr>
      </w:pPr>
      <w:bookmarkStart w:id="21" w:name="_Toc19691486"/>
      <w:bookmarkStart w:id="22" w:name="_Toc12112_WPSOffice_Level1"/>
      <w:bookmarkStart w:id="23" w:name="_Toc4574_WPSOffice_Level1"/>
      <w:bookmarkStart w:id="24" w:name="_Toc11001_WPSOffice_Level1"/>
      <w:bookmarkStart w:id="25" w:name="_Toc15963_WPSOffice_Level1"/>
      <w:r>
        <w:rPr>
          <w:rFonts w:hint="eastAsia"/>
        </w:rPr>
        <w:t xml:space="preserve">附图1  </w:t>
      </w:r>
      <w:bookmarkEnd w:id="21"/>
      <w:r>
        <w:rPr>
          <w:rFonts w:hint="eastAsia"/>
        </w:rPr>
        <w:t>富源县桂花水库位置示意图</w:t>
      </w:r>
      <w:bookmarkEnd w:id="22"/>
      <w:bookmarkEnd w:id="23"/>
      <w:bookmarkEnd w:id="24"/>
      <w:bookmarkEnd w:id="25"/>
    </w:p>
    <w:p>
      <w:pPr>
        <w:ind w:firstLine="480"/>
        <w:rPr>
          <w:b/>
          <w:bCs/>
        </w:rPr>
      </w:pPr>
      <w:bookmarkStart w:id="26" w:name="_Toc19691487"/>
      <w:bookmarkStart w:id="27" w:name="_Toc5451_WPSOffice_Level1"/>
      <w:bookmarkStart w:id="28" w:name="_Toc18077_WPSOffice_Level1"/>
      <w:bookmarkStart w:id="29" w:name="_Toc28677_WPSOffice_Level1"/>
      <w:bookmarkStart w:id="30" w:name="_Toc13980_WPSOffice_Level1"/>
      <w:bookmarkStart w:id="31" w:name="_Toc6418_WPSOffice_Level1"/>
      <w:r>
        <w:rPr>
          <w:rFonts w:hint="eastAsia"/>
        </w:rPr>
        <w:t xml:space="preserve">附图2  </w:t>
      </w:r>
      <w:bookmarkEnd w:id="26"/>
      <w:r>
        <w:rPr>
          <w:rFonts w:hint="eastAsia"/>
        </w:rPr>
        <w:t>富源县桂花水库水系示意图</w:t>
      </w:r>
      <w:bookmarkEnd w:id="27"/>
      <w:bookmarkEnd w:id="28"/>
      <w:bookmarkEnd w:id="29"/>
      <w:bookmarkEnd w:id="30"/>
      <w:bookmarkEnd w:id="31"/>
    </w:p>
    <w:p>
      <w:pPr>
        <w:ind w:firstLine="480"/>
        <w:rPr>
          <w:b/>
          <w:bCs/>
        </w:rPr>
      </w:pPr>
      <w:bookmarkStart w:id="32" w:name="_Toc19691488"/>
      <w:bookmarkStart w:id="33" w:name="_Toc6370_WPSOffice_Level1"/>
      <w:bookmarkStart w:id="34" w:name="_Toc24005_WPSOffice_Level1"/>
      <w:bookmarkStart w:id="35" w:name="_Toc7162_WPSOffice_Level1"/>
      <w:bookmarkStart w:id="36" w:name="_Toc25885_WPSOffice_Level1"/>
      <w:bookmarkStart w:id="37" w:name="_Toc11283_WPSOffice_Level1"/>
      <w:r>
        <w:rPr>
          <w:rFonts w:hint="eastAsia"/>
        </w:rPr>
        <w:t xml:space="preserve">附图3  </w:t>
      </w:r>
      <w:bookmarkEnd w:id="32"/>
      <w:r>
        <w:rPr>
          <w:rFonts w:hint="eastAsia"/>
        </w:rPr>
        <w:t>富源县桂花水库流域内土地利用现状图</w:t>
      </w:r>
      <w:bookmarkEnd w:id="33"/>
      <w:bookmarkEnd w:id="34"/>
      <w:bookmarkEnd w:id="35"/>
      <w:bookmarkEnd w:id="36"/>
      <w:bookmarkEnd w:id="37"/>
    </w:p>
    <w:p>
      <w:pPr>
        <w:ind w:firstLine="480"/>
        <w:rPr>
          <w:b/>
          <w:bCs/>
        </w:rPr>
      </w:pPr>
      <w:bookmarkStart w:id="38" w:name="_Toc19691489"/>
      <w:bookmarkStart w:id="39" w:name="_Toc27276_WPSOffice_Level1"/>
      <w:bookmarkStart w:id="40" w:name="_Toc10074_WPSOffice_Level1"/>
      <w:bookmarkStart w:id="41" w:name="_Toc28375_WPSOffice_Level1"/>
      <w:bookmarkStart w:id="42" w:name="_Toc23943_WPSOffice_Level1"/>
      <w:bookmarkStart w:id="43" w:name="_Toc1830_WPSOffice_Level1"/>
      <w:r>
        <w:rPr>
          <w:rFonts w:hint="eastAsia"/>
        </w:rPr>
        <w:t xml:space="preserve">附图4  </w:t>
      </w:r>
      <w:bookmarkEnd w:id="38"/>
      <w:r>
        <w:rPr>
          <w:rFonts w:hint="eastAsia"/>
        </w:rPr>
        <w:t>富源县桂花水库污染现状图</w:t>
      </w:r>
      <w:bookmarkEnd w:id="39"/>
      <w:bookmarkEnd w:id="40"/>
      <w:bookmarkEnd w:id="41"/>
      <w:bookmarkEnd w:id="42"/>
      <w:bookmarkEnd w:id="43"/>
    </w:p>
    <w:p>
      <w:pPr>
        <w:ind w:firstLine="480"/>
        <w:rPr>
          <w:b/>
          <w:bCs/>
        </w:rPr>
      </w:pPr>
      <w:bookmarkStart w:id="44" w:name="_Toc19691490"/>
      <w:bookmarkStart w:id="45" w:name="_Toc283_WPSOffice_Level1"/>
      <w:bookmarkStart w:id="46" w:name="_Toc16376_WPSOffice_Level1"/>
      <w:bookmarkStart w:id="47" w:name="_Toc29059_WPSOffice_Level1"/>
      <w:bookmarkStart w:id="48" w:name="_Toc20431_WPSOffice_Level1"/>
      <w:bookmarkStart w:id="49" w:name="_Toc28328_WPSOffice_Level1"/>
      <w:r>
        <w:rPr>
          <w:rFonts w:hint="eastAsia"/>
        </w:rPr>
        <w:t xml:space="preserve">附图5  </w:t>
      </w:r>
      <w:bookmarkEnd w:id="44"/>
      <w:r>
        <w:rPr>
          <w:rFonts w:hint="eastAsia"/>
        </w:rPr>
        <w:t>富源县桂花水库饮用水水源保护区区划图</w:t>
      </w:r>
      <w:bookmarkEnd w:id="45"/>
      <w:bookmarkEnd w:id="46"/>
      <w:bookmarkEnd w:id="47"/>
      <w:bookmarkEnd w:id="48"/>
      <w:bookmarkEnd w:id="49"/>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pStyle w:val="3"/>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pPr>
    </w:p>
    <w:p>
      <w:pPr>
        <w:pStyle w:val="3"/>
      </w:pPr>
      <w:bookmarkStart w:id="50" w:name="_Toc12762_WPSOffice_Level1"/>
      <w:bookmarkStart w:id="51" w:name="_Toc25614"/>
      <w:bookmarkStart w:id="52" w:name="_Toc30052_WPSOffice_Level1"/>
      <w:r>
        <w:rPr>
          <w:rFonts w:hint="eastAsia"/>
        </w:rPr>
        <w:t>第一章  总则</w:t>
      </w:r>
      <w:bookmarkEnd w:id="50"/>
      <w:bookmarkEnd w:id="51"/>
      <w:bookmarkEnd w:id="52"/>
    </w:p>
    <w:p>
      <w:pPr>
        <w:pStyle w:val="4"/>
        <w:spacing w:line="360" w:lineRule="auto"/>
      </w:pPr>
      <w:bookmarkStart w:id="53" w:name="_Toc5033"/>
      <w:r>
        <w:t xml:space="preserve">1.1  </w:t>
      </w:r>
      <w:r>
        <w:rPr>
          <w:rFonts w:hint="eastAsia"/>
        </w:rPr>
        <w:t>划分目的</w:t>
      </w:r>
      <w:bookmarkEnd w:id="53"/>
    </w:p>
    <w:p>
      <w:pPr>
        <w:ind w:firstLine="480"/>
        <w:rPr>
          <w:rFonts w:cs="Times New Roman"/>
        </w:rPr>
      </w:pPr>
      <w:r>
        <w:rPr>
          <w:rFonts w:cs="Times New Roman"/>
        </w:rPr>
        <w:t>为认真贯彻习近平新时代中国特色社会主义思想和党的十九大精神，以习近平生态文明思想为指导，深入贯彻落实《中共中央 国务院关于全面加强生态环境保护坚决打好污染防治攻坚战的意见》（中发〔2018〕17号）、《中共云南省委 云南省人民政府关于全面加强生态环境保护坚决打好污染防治攻坚战的实施意见》（云发〔2018〕16号）、《中共曲靖市委 曲靖市人民政府关于印发&lt;曲靖市全面加强生态环境保护坚决打好污染防治攻坚战实施方案&gt;的通知》（曲发〔2018〕35号）以及全国、全省、全市生态环境保护大会精神，以改善饮用水水源环境质量为核心，坚持“环境执法、风险管理”两手发力，统筹推进水源地污染防治和环境风险防范，全面推进饮用水水源地达标建设工作，强化饮用水水源地保护区突出环境问题整治，落实“饮用水水源保护区的划立治、不达标水源水质改善、水源风险防控”三项重点任务，建立起部门联防联控的管理机制，协同推进水源地保护与经济社会的可持续发展，确保广大人民群众饮水安全</w:t>
      </w:r>
      <w:bookmarkStart w:id="54" w:name="_Hlk23060414"/>
      <w:r>
        <w:rPr>
          <w:rFonts w:hint="eastAsia" w:cs="Times New Roman"/>
        </w:rPr>
        <w:t>，特此，曲靖市环境保护局和曲靖市水务局组织开展供水人口在10000人以上或日供水在1000吨以上的所有饮用水水源地环境保护清理整治工作。</w:t>
      </w:r>
      <w:bookmarkEnd w:id="54"/>
    </w:p>
    <w:p>
      <w:pPr>
        <w:ind w:firstLine="480"/>
        <w:rPr>
          <w:rFonts w:cs="Times New Roman"/>
        </w:rPr>
      </w:pPr>
      <w:r>
        <w:rPr>
          <w:rFonts w:cs="Times New Roman"/>
        </w:rPr>
        <w:t>为解决好农村饮用水安全，取缔水源保护区内的直接排污口，严防畜禽养殖业和水产养殖业污染水源，禁止有毒有害物资进入饮用水水源保护区，强化水污染事故的预防和应急处理，确保群众饮水安全，全面保障人民群众饮水安全和水源可持续开发利用，认真开展桂花</w:t>
      </w:r>
      <w:r>
        <w:rPr>
          <w:rFonts w:cs="Times New Roman"/>
          <w:lang w:val="zh-CN"/>
        </w:rPr>
        <w:t>水库</w:t>
      </w:r>
      <w:r>
        <w:rPr>
          <w:rFonts w:cs="Times New Roman"/>
        </w:rPr>
        <w:t>饮用水源地环境保护调查及区划工作，旨在进一步掌握桂花</w:t>
      </w:r>
      <w:r>
        <w:rPr>
          <w:rFonts w:cs="Times New Roman"/>
          <w:lang w:val="zh-CN"/>
        </w:rPr>
        <w:t>水库</w:t>
      </w:r>
      <w:r>
        <w:rPr>
          <w:rFonts w:cs="Times New Roman"/>
        </w:rPr>
        <w:t>饮用水源地环境状况和存在的问题，加强桂花水库饮用水源地污染防治和管理能力建设，进一步完善饮用水源地环境保护相关管理制度，全面落实饮用水源地专项执法行动，为解决目前危害饮用水源地水质安全的隐患问题，为后续水库饮用水源地保护的各项工作打下基础</w:t>
      </w:r>
      <w:r>
        <w:rPr>
          <w:rFonts w:hint="eastAsia" w:cs="Times New Roman"/>
        </w:rPr>
        <w:t>，同时</w:t>
      </w:r>
      <w:r>
        <w:rPr>
          <w:rFonts w:cs="Times New Roman"/>
        </w:rPr>
        <w:t>为确保后所镇桂花水库下游7571人饮水安全</w:t>
      </w:r>
      <w:r>
        <w:rPr>
          <w:rFonts w:hint="eastAsia" w:cs="Times New Roman"/>
        </w:rPr>
        <w:t>及牲畜用水安全</w:t>
      </w:r>
      <w:r>
        <w:rPr>
          <w:rFonts w:cs="Times New Roman"/>
        </w:rPr>
        <w:t>，防止饮用水水源地污染，保证桂花</w:t>
      </w:r>
      <w:r>
        <w:rPr>
          <w:rFonts w:cs="Times New Roman"/>
          <w:lang w:val="zh-CN"/>
        </w:rPr>
        <w:t>水库</w:t>
      </w:r>
      <w:r>
        <w:rPr>
          <w:rFonts w:cs="Times New Roman"/>
        </w:rPr>
        <w:t>水质，为确保饮用水源地饮水安全，并进一步加强污染源控制、生态环境保护、环境监管能力建设，使饮水安全及环保工作更加科学、有序、有力，</w:t>
      </w:r>
      <w:r>
        <w:rPr>
          <w:rFonts w:hint="eastAsia" w:cs="Times New Roman"/>
        </w:rPr>
        <w:t>特</w:t>
      </w:r>
      <w:r>
        <w:rPr>
          <w:rFonts w:cs="Times New Roman"/>
        </w:rPr>
        <w:t>对桂花</w:t>
      </w:r>
      <w:r>
        <w:rPr>
          <w:rFonts w:cs="Times New Roman"/>
          <w:lang w:val="zh-CN"/>
        </w:rPr>
        <w:t>水库</w:t>
      </w:r>
      <w:r>
        <w:rPr>
          <w:rFonts w:cs="Times New Roman"/>
        </w:rPr>
        <w:t>饮用水水源保护区进行划分。</w:t>
      </w:r>
    </w:p>
    <w:p>
      <w:pPr>
        <w:pStyle w:val="4"/>
        <w:spacing w:line="360" w:lineRule="auto"/>
        <w:rPr>
          <w:rFonts w:cs="Times New Roman"/>
        </w:rPr>
      </w:pPr>
      <w:bookmarkStart w:id="55" w:name="_Toc13655"/>
      <w:r>
        <w:rPr>
          <w:rFonts w:cs="Times New Roman"/>
        </w:rPr>
        <w:t>1.2  划分依据</w:t>
      </w:r>
      <w:bookmarkEnd w:id="55"/>
    </w:p>
    <w:p>
      <w:pPr>
        <w:pStyle w:val="5"/>
        <w:spacing w:line="360" w:lineRule="auto"/>
        <w:rPr>
          <w:rFonts w:cs="Times New Roman"/>
        </w:rPr>
      </w:pPr>
      <w:bookmarkStart w:id="56" w:name="_Toc26108"/>
      <w:r>
        <w:rPr>
          <w:rFonts w:cs="Times New Roman"/>
        </w:rPr>
        <w:t>1.2.1  相关法律法规</w:t>
      </w:r>
      <w:bookmarkEnd w:id="56"/>
    </w:p>
    <w:p>
      <w:pPr>
        <w:widowControl/>
        <w:adjustRightInd w:val="0"/>
        <w:snapToGrid w:val="0"/>
        <w:ind w:left="480" w:leftChars="200" w:firstLine="0" w:firstLineChars="0"/>
        <w:rPr>
          <w:rFonts w:cs="Times New Roman"/>
          <w:kern w:val="0"/>
          <w:szCs w:val="24"/>
        </w:rPr>
      </w:pPr>
      <w:r>
        <w:rPr>
          <w:rFonts w:cs="Times New Roman"/>
          <w:kern w:val="0"/>
          <w:szCs w:val="24"/>
        </w:rPr>
        <w:t>《中华人民共和国环境保护法》（2015年1月）</w:t>
      </w:r>
    </w:p>
    <w:p>
      <w:pPr>
        <w:widowControl/>
        <w:adjustRightInd w:val="0"/>
        <w:snapToGrid w:val="0"/>
        <w:ind w:left="480" w:leftChars="200" w:firstLine="0" w:firstLineChars="0"/>
        <w:rPr>
          <w:rFonts w:cs="Times New Roman"/>
          <w:kern w:val="0"/>
          <w:szCs w:val="24"/>
        </w:rPr>
      </w:pPr>
      <w:r>
        <w:rPr>
          <w:rFonts w:cs="Times New Roman"/>
          <w:kern w:val="0"/>
          <w:szCs w:val="24"/>
        </w:rPr>
        <w:t>《水污染防治行动计划》（2015年4月）</w:t>
      </w:r>
    </w:p>
    <w:p>
      <w:pPr>
        <w:widowControl/>
        <w:adjustRightInd w:val="0"/>
        <w:snapToGrid w:val="0"/>
        <w:ind w:left="480" w:leftChars="200" w:firstLine="0" w:firstLineChars="0"/>
        <w:rPr>
          <w:rFonts w:cs="Times New Roman"/>
          <w:kern w:val="0"/>
          <w:szCs w:val="24"/>
        </w:rPr>
      </w:pPr>
      <w:r>
        <w:rPr>
          <w:rFonts w:cs="Times New Roman"/>
          <w:kern w:val="0"/>
          <w:szCs w:val="24"/>
        </w:rPr>
        <w:t>《中华人民共和国水法》（2016年7月）</w:t>
      </w:r>
    </w:p>
    <w:p>
      <w:pPr>
        <w:widowControl/>
        <w:adjustRightInd w:val="0"/>
        <w:snapToGrid w:val="0"/>
        <w:ind w:left="480" w:leftChars="200" w:firstLine="0" w:firstLineChars="0"/>
        <w:rPr>
          <w:rFonts w:cs="Times New Roman"/>
          <w:kern w:val="0"/>
          <w:szCs w:val="24"/>
        </w:rPr>
      </w:pPr>
      <w:r>
        <w:rPr>
          <w:rFonts w:cs="Times New Roman"/>
          <w:kern w:val="0"/>
          <w:szCs w:val="24"/>
        </w:rPr>
        <w:t>《中华人民共和国水土保持法》（2011年3月）</w:t>
      </w:r>
    </w:p>
    <w:p>
      <w:pPr>
        <w:widowControl/>
        <w:adjustRightInd w:val="0"/>
        <w:snapToGrid w:val="0"/>
        <w:ind w:left="480" w:leftChars="200" w:firstLine="0" w:firstLineChars="0"/>
        <w:rPr>
          <w:rFonts w:cs="Times New Roman"/>
          <w:kern w:val="0"/>
          <w:szCs w:val="24"/>
        </w:rPr>
      </w:pPr>
      <w:r>
        <w:rPr>
          <w:rFonts w:cs="Times New Roman"/>
          <w:kern w:val="0"/>
          <w:szCs w:val="24"/>
        </w:rPr>
        <w:t>《中华人民共和国农业法》（2013年1月修订）</w:t>
      </w:r>
    </w:p>
    <w:p>
      <w:pPr>
        <w:widowControl/>
        <w:adjustRightInd w:val="0"/>
        <w:snapToGrid w:val="0"/>
        <w:ind w:left="480" w:leftChars="200" w:firstLine="0" w:firstLineChars="0"/>
        <w:rPr>
          <w:rFonts w:cs="Times New Roman"/>
          <w:kern w:val="0"/>
          <w:szCs w:val="24"/>
        </w:rPr>
      </w:pPr>
      <w:r>
        <w:rPr>
          <w:rFonts w:cs="Times New Roman"/>
          <w:kern w:val="0"/>
          <w:szCs w:val="24"/>
        </w:rPr>
        <w:t>《中华人民共和国水污染防治法》（2018年6月）</w:t>
      </w:r>
    </w:p>
    <w:p>
      <w:pPr>
        <w:widowControl/>
        <w:adjustRightInd w:val="0"/>
        <w:snapToGrid w:val="0"/>
        <w:ind w:left="480" w:leftChars="200" w:firstLine="0" w:firstLineChars="0"/>
        <w:rPr>
          <w:rFonts w:cs="Times New Roman"/>
          <w:kern w:val="0"/>
          <w:szCs w:val="24"/>
        </w:rPr>
      </w:pPr>
      <w:r>
        <w:rPr>
          <w:rFonts w:cs="Times New Roman"/>
          <w:kern w:val="0"/>
          <w:szCs w:val="24"/>
        </w:rPr>
        <w:t>《中华人民共和国水污染防治法实施细则》（2000年3月）</w:t>
      </w:r>
    </w:p>
    <w:p>
      <w:pPr>
        <w:widowControl/>
        <w:adjustRightInd w:val="0"/>
        <w:snapToGrid w:val="0"/>
        <w:ind w:left="480" w:leftChars="200" w:firstLine="0" w:firstLineChars="0"/>
        <w:rPr>
          <w:rFonts w:cs="Times New Roman"/>
          <w:kern w:val="0"/>
          <w:szCs w:val="24"/>
        </w:rPr>
      </w:pPr>
      <w:r>
        <w:rPr>
          <w:rFonts w:cs="Times New Roman"/>
          <w:kern w:val="0"/>
          <w:szCs w:val="24"/>
        </w:rPr>
        <w:t>《中华人民共和国城市供水条例》（1994年7月）</w:t>
      </w:r>
    </w:p>
    <w:p>
      <w:pPr>
        <w:widowControl/>
        <w:adjustRightInd w:val="0"/>
        <w:snapToGrid w:val="0"/>
        <w:ind w:left="480" w:leftChars="200" w:firstLine="0" w:firstLineChars="0"/>
        <w:rPr>
          <w:rFonts w:cs="Times New Roman"/>
          <w:kern w:val="0"/>
          <w:szCs w:val="24"/>
        </w:rPr>
      </w:pPr>
      <w:r>
        <w:rPr>
          <w:rFonts w:cs="Times New Roman"/>
          <w:color w:val="000000"/>
          <w:szCs w:val="24"/>
        </w:rPr>
        <w:t>《饮用水水源保护区污染防治管理规定》（89环管字第201号）</w:t>
      </w:r>
    </w:p>
    <w:p>
      <w:pPr>
        <w:widowControl/>
        <w:adjustRightInd w:val="0"/>
        <w:snapToGrid w:val="0"/>
        <w:ind w:left="480" w:leftChars="200" w:firstLine="0" w:firstLineChars="0"/>
        <w:rPr>
          <w:rFonts w:cs="Times New Roman"/>
          <w:kern w:val="0"/>
          <w:szCs w:val="24"/>
        </w:rPr>
      </w:pPr>
      <w:r>
        <w:rPr>
          <w:rFonts w:cs="Times New Roman"/>
          <w:kern w:val="0"/>
          <w:szCs w:val="24"/>
        </w:rPr>
        <w:t>《云南省水土保持条例》（2014年7月）</w:t>
      </w:r>
    </w:p>
    <w:p>
      <w:pPr>
        <w:widowControl/>
        <w:adjustRightInd w:val="0"/>
        <w:snapToGrid w:val="0"/>
        <w:ind w:left="480" w:leftChars="200" w:firstLine="0" w:firstLineChars="0"/>
        <w:rPr>
          <w:rFonts w:cs="Times New Roman"/>
          <w:kern w:val="0"/>
          <w:szCs w:val="24"/>
        </w:rPr>
      </w:pPr>
      <w:r>
        <w:rPr>
          <w:rFonts w:cs="Times New Roman"/>
          <w:color w:val="000000"/>
          <w:szCs w:val="24"/>
          <w:shd w:val="clear" w:color="auto" w:fill="FFFFFF"/>
        </w:rPr>
        <w:t>《云南省水污染防治工作方案》（云政发〔2016〕3号）</w:t>
      </w:r>
    </w:p>
    <w:p>
      <w:pPr>
        <w:widowControl/>
        <w:adjustRightInd w:val="0"/>
        <w:snapToGrid w:val="0"/>
        <w:ind w:left="480" w:leftChars="200" w:firstLine="0" w:firstLineChars="0"/>
        <w:rPr>
          <w:rFonts w:cs="Times New Roman"/>
          <w:kern w:val="0"/>
          <w:szCs w:val="24"/>
        </w:rPr>
      </w:pPr>
      <w:r>
        <w:rPr>
          <w:rFonts w:cs="Times New Roman"/>
          <w:color w:val="000000"/>
          <w:szCs w:val="24"/>
          <w:shd w:val="clear" w:color="auto" w:fill="FFFFFF"/>
        </w:rPr>
        <w:t>《云南省水利厅关于公布县级以上城市重要集中式饮用水水源地名录的通知》（云水资源〔2013〕56号）</w:t>
      </w:r>
    </w:p>
    <w:p>
      <w:pPr>
        <w:widowControl/>
        <w:adjustRightInd w:val="0"/>
        <w:snapToGrid w:val="0"/>
        <w:ind w:left="480" w:leftChars="200" w:firstLine="0" w:firstLineChars="0"/>
        <w:rPr>
          <w:rFonts w:cs="Times New Roman"/>
          <w:color w:val="000000"/>
          <w:szCs w:val="24"/>
          <w:shd w:val="clear" w:color="auto" w:fill="FFFFFF"/>
        </w:rPr>
      </w:pPr>
      <w:r>
        <w:rPr>
          <w:rFonts w:cs="Times New Roman"/>
          <w:color w:val="000000"/>
          <w:szCs w:val="24"/>
          <w:shd w:val="clear" w:color="auto" w:fill="FFFFFF"/>
        </w:rPr>
        <w:t>《云南省水利厅关于建立贯彻落实最严格水资源管理制度推进工作机制的通知》（云水发〔2014〕63号）</w:t>
      </w:r>
    </w:p>
    <w:p>
      <w:pPr>
        <w:widowControl/>
        <w:adjustRightInd w:val="0"/>
        <w:snapToGrid w:val="0"/>
        <w:ind w:left="480" w:leftChars="200" w:firstLine="0" w:firstLineChars="0"/>
        <w:rPr>
          <w:rFonts w:cs="Times New Roman"/>
          <w:kern w:val="0"/>
          <w:szCs w:val="24"/>
        </w:rPr>
      </w:pPr>
      <w:bookmarkStart w:id="57" w:name="OLE_LINK1"/>
      <w:r>
        <w:rPr>
          <w:rFonts w:cs="Times New Roman"/>
          <w:color w:val="000000"/>
          <w:szCs w:val="24"/>
          <w:shd w:val="clear" w:color="auto" w:fill="FFFFFF"/>
        </w:rPr>
        <w:t>《云南省人民政府关于加强节水型社会建设的意见》（云政发〔2014〕71号）</w:t>
      </w:r>
    </w:p>
    <w:p>
      <w:pPr>
        <w:widowControl/>
        <w:adjustRightInd w:val="0"/>
        <w:snapToGrid w:val="0"/>
        <w:ind w:left="480" w:leftChars="200" w:firstLine="0" w:firstLineChars="0"/>
        <w:rPr>
          <w:rFonts w:cs="Times New Roman"/>
          <w:kern w:val="0"/>
          <w:szCs w:val="24"/>
        </w:rPr>
      </w:pPr>
      <w:r>
        <w:rPr>
          <w:rFonts w:cs="Times New Roman"/>
          <w:color w:val="000000"/>
          <w:szCs w:val="24"/>
        </w:rPr>
        <w:t>《云南水利厅关于推进最严格水资源管理制度示范县工作的通知》（云水资源〔2015〕6号）</w:t>
      </w:r>
    </w:p>
    <w:p>
      <w:pPr>
        <w:widowControl/>
        <w:adjustRightInd w:val="0"/>
        <w:snapToGrid w:val="0"/>
        <w:ind w:left="480" w:leftChars="200" w:firstLine="0" w:firstLineChars="0"/>
        <w:rPr>
          <w:rFonts w:cs="Times New Roman"/>
          <w:kern w:val="0"/>
          <w:szCs w:val="24"/>
        </w:rPr>
      </w:pPr>
      <w:r>
        <w:rPr>
          <w:rFonts w:cs="Times New Roman"/>
          <w:color w:val="000000"/>
          <w:szCs w:val="24"/>
        </w:rPr>
        <w:t>《云南省水利厅关于印发“十二五”期间推动落实最严格水资源管理制度重点工作任务的通知》（云水资源〔2012〕83号）</w:t>
      </w:r>
    </w:p>
    <w:p>
      <w:pPr>
        <w:widowControl/>
        <w:adjustRightInd w:val="0"/>
        <w:snapToGrid w:val="0"/>
        <w:ind w:left="480" w:leftChars="200" w:firstLine="0" w:firstLineChars="0"/>
        <w:rPr>
          <w:rFonts w:cs="Times New Roman"/>
          <w:kern w:val="0"/>
          <w:szCs w:val="24"/>
        </w:rPr>
      </w:pPr>
      <w:r>
        <w:rPr>
          <w:rFonts w:cs="Times New Roman"/>
          <w:color w:val="000000"/>
          <w:szCs w:val="24"/>
        </w:rPr>
        <w:t>《云南省水利厅关于建立贯彻落实最严格水资源管理制度推进工作机制的通知》（云水发〔2014〕63号）</w:t>
      </w:r>
    </w:p>
    <w:p>
      <w:pPr>
        <w:widowControl/>
        <w:adjustRightInd w:val="0"/>
        <w:snapToGrid w:val="0"/>
        <w:ind w:left="480" w:leftChars="200" w:firstLine="0" w:firstLineChars="0"/>
        <w:rPr>
          <w:rFonts w:cs="Times New Roman"/>
          <w:kern w:val="0"/>
          <w:szCs w:val="24"/>
        </w:rPr>
      </w:pPr>
      <w:r>
        <w:rPr>
          <w:rFonts w:cs="Times New Roman"/>
          <w:color w:val="000000"/>
          <w:szCs w:val="24"/>
          <w:shd w:val="clear" w:color="auto" w:fill="FFFFFF"/>
        </w:rPr>
        <w:t>《云南省人民政府关于实行最严格水资源管理制度的意见》（云政发〔2012〕126号）</w:t>
      </w:r>
    </w:p>
    <w:p>
      <w:pPr>
        <w:widowControl/>
        <w:adjustRightInd w:val="0"/>
        <w:snapToGrid w:val="0"/>
        <w:ind w:left="480" w:leftChars="200" w:firstLine="0" w:firstLineChars="0"/>
        <w:rPr>
          <w:rFonts w:cs="Times New Roman"/>
          <w:kern w:val="0"/>
          <w:szCs w:val="24"/>
        </w:rPr>
      </w:pPr>
      <w:r>
        <w:rPr>
          <w:rFonts w:cs="Times New Roman"/>
          <w:color w:val="000000"/>
          <w:szCs w:val="24"/>
          <w:shd w:val="clear" w:color="auto" w:fill="FFFFFF"/>
        </w:rPr>
        <w:t>《曲靖市人民政府关于加强节水型社会建设的实施意见》（曲政发〔2015〕69号）</w:t>
      </w:r>
    </w:p>
    <w:bookmarkEnd w:id="57"/>
    <w:p>
      <w:pPr>
        <w:widowControl/>
        <w:adjustRightInd w:val="0"/>
        <w:snapToGrid w:val="0"/>
        <w:ind w:left="480" w:leftChars="200" w:firstLine="0" w:firstLineChars="0"/>
        <w:rPr>
          <w:rFonts w:cs="Times New Roman"/>
          <w:color w:val="000000"/>
          <w:szCs w:val="24"/>
          <w:shd w:val="clear" w:color="auto" w:fill="FFFFFF"/>
        </w:rPr>
      </w:pPr>
      <w:r>
        <w:rPr>
          <w:rFonts w:cs="Times New Roman"/>
          <w:color w:val="000000"/>
          <w:szCs w:val="24"/>
          <w:shd w:val="clear" w:color="auto" w:fill="FFFFFF"/>
        </w:rPr>
        <w:t>《曲靖市环境保护局关于转发云南省环境保护厅关于进一步加强全省集式生活饮用水源地水质监测工作的通知》（曲环通〔2016〕54号）</w:t>
      </w:r>
    </w:p>
    <w:p>
      <w:pPr>
        <w:widowControl/>
        <w:adjustRightInd w:val="0"/>
        <w:snapToGrid w:val="0"/>
        <w:ind w:left="480" w:leftChars="200" w:firstLine="0" w:firstLineChars="0"/>
        <w:rPr>
          <w:rFonts w:cs="Times New Roman"/>
        </w:rPr>
      </w:pPr>
      <w:r>
        <w:rPr>
          <w:rFonts w:cs="Times New Roman"/>
          <w:color w:val="000000"/>
          <w:szCs w:val="24"/>
          <w:shd w:val="clear" w:color="auto" w:fill="FFFFFF"/>
        </w:rPr>
        <w:t>《富源县农村饮水安全巩固提升工程“十三五”规划》</w:t>
      </w:r>
    </w:p>
    <w:p>
      <w:pPr>
        <w:pStyle w:val="5"/>
        <w:spacing w:line="360" w:lineRule="auto"/>
        <w:rPr>
          <w:rFonts w:cs="Times New Roman"/>
        </w:rPr>
      </w:pPr>
      <w:bookmarkStart w:id="58" w:name="_Toc23920"/>
      <w:r>
        <w:rPr>
          <w:rFonts w:cs="Times New Roman"/>
        </w:rPr>
        <w:t>1.2.2  相关规划</w:t>
      </w:r>
      <w:bookmarkEnd w:id="58"/>
    </w:p>
    <w:p>
      <w:pPr>
        <w:widowControl/>
        <w:adjustRightInd w:val="0"/>
        <w:snapToGrid w:val="0"/>
        <w:ind w:left="480" w:leftChars="200" w:firstLine="0" w:firstLineChars="0"/>
        <w:rPr>
          <w:rFonts w:cs="Times New Roman"/>
          <w:color w:val="000000"/>
          <w:szCs w:val="24"/>
          <w:shd w:val="clear" w:color="auto" w:fill="FFFFFF"/>
        </w:rPr>
      </w:pPr>
      <w:r>
        <w:rPr>
          <w:rFonts w:cs="Times New Roman"/>
          <w:color w:val="000000"/>
          <w:szCs w:val="24"/>
          <w:shd w:val="clear" w:color="auto" w:fill="FFFFFF"/>
        </w:rPr>
        <w:t>《全国城市饮用水水源地环境保护规划》(2008-2020年)</w:t>
      </w:r>
    </w:p>
    <w:p>
      <w:pPr>
        <w:widowControl/>
        <w:adjustRightInd w:val="0"/>
        <w:snapToGrid w:val="0"/>
        <w:ind w:left="480" w:leftChars="200" w:firstLine="0" w:firstLineChars="0"/>
        <w:rPr>
          <w:rFonts w:cs="Times New Roman"/>
          <w:color w:val="000000"/>
          <w:szCs w:val="24"/>
          <w:shd w:val="clear" w:color="auto" w:fill="FFFFFF"/>
        </w:rPr>
      </w:pPr>
      <w:r>
        <w:rPr>
          <w:rFonts w:cs="Times New Roman"/>
          <w:color w:val="000000"/>
          <w:szCs w:val="24"/>
          <w:shd w:val="clear" w:color="auto" w:fill="FFFFFF"/>
        </w:rPr>
        <w:t>《云南省水资源保护规划报告》（2016年）</w:t>
      </w:r>
    </w:p>
    <w:p>
      <w:pPr>
        <w:widowControl/>
        <w:adjustRightInd w:val="0"/>
        <w:snapToGrid w:val="0"/>
        <w:ind w:left="480" w:leftChars="200" w:firstLine="0" w:firstLineChars="0"/>
        <w:rPr>
          <w:rFonts w:cs="Times New Roman"/>
          <w:color w:val="000000"/>
          <w:szCs w:val="24"/>
          <w:shd w:val="clear" w:color="auto" w:fill="FFFFFF"/>
        </w:rPr>
      </w:pPr>
      <w:r>
        <w:rPr>
          <w:rFonts w:cs="Times New Roman"/>
          <w:color w:val="000000"/>
          <w:szCs w:val="24"/>
          <w:shd w:val="clear" w:color="auto" w:fill="FFFFFF"/>
        </w:rPr>
        <w:t>《曲靖市水资源保护规划》（2015年）</w:t>
      </w:r>
    </w:p>
    <w:p>
      <w:pPr>
        <w:widowControl/>
        <w:adjustRightInd w:val="0"/>
        <w:snapToGrid w:val="0"/>
        <w:ind w:left="480" w:leftChars="200" w:firstLine="0" w:firstLineChars="0"/>
        <w:rPr>
          <w:rFonts w:cs="Times New Roman"/>
          <w:color w:val="000000"/>
          <w:szCs w:val="24"/>
          <w:shd w:val="clear" w:color="auto" w:fill="FFFFFF"/>
        </w:rPr>
      </w:pPr>
      <w:r>
        <w:rPr>
          <w:rFonts w:cs="Times New Roman"/>
          <w:color w:val="000000"/>
          <w:szCs w:val="24"/>
          <w:shd w:val="clear" w:color="auto" w:fill="FFFFFF"/>
        </w:rPr>
        <w:t>《曲靖市城市城市集中式饮用水源地环境保护规划》（2015年9月）</w:t>
      </w:r>
    </w:p>
    <w:p>
      <w:pPr>
        <w:widowControl/>
        <w:adjustRightInd w:val="0"/>
        <w:snapToGrid w:val="0"/>
        <w:ind w:left="480" w:leftChars="200" w:firstLine="0" w:firstLineChars="0"/>
        <w:rPr>
          <w:rFonts w:cs="Times New Roman"/>
          <w:color w:val="000000"/>
          <w:szCs w:val="24"/>
          <w:shd w:val="clear" w:color="auto" w:fill="FFFFFF"/>
        </w:rPr>
      </w:pPr>
      <w:r>
        <w:rPr>
          <w:rFonts w:cs="Times New Roman"/>
          <w:color w:val="000000"/>
          <w:szCs w:val="24"/>
          <w:shd w:val="clear" w:color="auto" w:fill="FFFFFF"/>
        </w:rPr>
        <w:t>《曲靖市环境保护“十三五”规划》（2017年）</w:t>
      </w:r>
    </w:p>
    <w:p>
      <w:pPr>
        <w:widowControl/>
        <w:adjustRightInd w:val="0"/>
        <w:snapToGrid w:val="0"/>
        <w:ind w:left="480" w:leftChars="200" w:firstLine="0" w:firstLineChars="0"/>
        <w:rPr>
          <w:rFonts w:cs="Times New Roman"/>
        </w:rPr>
      </w:pPr>
      <w:r>
        <w:rPr>
          <w:rFonts w:cs="Times New Roman"/>
          <w:color w:val="000000"/>
          <w:szCs w:val="24"/>
          <w:shd w:val="clear" w:color="auto" w:fill="FFFFFF"/>
        </w:rPr>
        <w:t>《富源生态文明建设规划》(2016—2025年)</w:t>
      </w:r>
    </w:p>
    <w:p>
      <w:pPr>
        <w:pStyle w:val="4"/>
        <w:spacing w:line="360" w:lineRule="auto"/>
        <w:rPr>
          <w:rFonts w:cs="Times New Roman"/>
        </w:rPr>
      </w:pPr>
      <w:bookmarkStart w:id="59" w:name="_Toc15266"/>
      <w:r>
        <w:rPr>
          <w:rFonts w:cs="Times New Roman"/>
        </w:rPr>
        <w:t>1.3  技术路线</w:t>
      </w:r>
      <w:bookmarkEnd w:id="59"/>
    </w:p>
    <w:p>
      <w:pPr>
        <w:pStyle w:val="5"/>
        <w:spacing w:line="360" w:lineRule="auto"/>
        <w:rPr>
          <w:rFonts w:cs="Times New Roman"/>
        </w:rPr>
      </w:pPr>
      <w:bookmarkStart w:id="60" w:name="_Toc29006"/>
      <w:r>
        <w:rPr>
          <w:rFonts w:cs="Times New Roman"/>
        </w:rPr>
        <w:t>1.3.1  技术步骤</w:t>
      </w:r>
      <w:bookmarkEnd w:id="60"/>
    </w:p>
    <w:p>
      <w:pPr>
        <w:ind w:firstLine="480"/>
        <w:rPr>
          <w:rFonts w:cs="Times New Roman"/>
        </w:rPr>
      </w:pPr>
      <w:r>
        <w:rPr>
          <w:rFonts w:cs="Times New Roman"/>
        </w:rPr>
        <w:t>2019年8月，</w:t>
      </w:r>
      <w:r>
        <w:rPr>
          <w:rFonts w:cs="Times New Roman"/>
          <w:u w:val="single"/>
        </w:rPr>
        <w:t>富源县后所镇人民政府</w:t>
      </w:r>
      <w:r>
        <w:rPr>
          <w:rFonts w:cs="Times New Roman"/>
        </w:rPr>
        <w:t>（以下简称“后所镇人民政府”）委托</w:t>
      </w:r>
      <w:r>
        <w:rPr>
          <w:rFonts w:cs="Times New Roman"/>
          <w:u w:val="single"/>
        </w:rPr>
        <w:t>云南巽通环保科技有限公司</w:t>
      </w:r>
      <w:r>
        <w:rPr>
          <w:rFonts w:cs="Times New Roman"/>
        </w:rPr>
        <w:t>（以下简称“巽通环保”）对</w:t>
      </w:r>
      <w:r>
        <w:rPr>
          <w:rFonts w:cs="Times New Roman"/>
          <w:u w:val="single"/>
        </w:rPr>
        <w:t>富源县桂花水库</w:t>
      </w:r>
      <w:r>
        <w:rPr>
          <w:rFonts w:cs="Times New Roman"/>
        </w:rPr>
        <w:t>（以下简称“桂花水库”）饮用水水源地环境现状进行调查，并完成饮用水水源地保护区划分和技术报告的编制工作。巽通环保严格按照《饮用水水源保护区划技术规范》（HJ 338-2018）所要求的技术步骤，完成此项工作，技术步骤如图1-1所示。</w:t>
      </w:r>
    </w:p>
    <w:p>
      <w:pPr>
        <w:ind w:firstLine="480"/>
        <w:rPr>
          <w:rFonts w:cs="Times New Roman"/>
        </w:rPr>
      </w:pPr>
      <w:bookmarkStart w:id="61" w:name="_Hlk19445650"/>
      <w:r>
        <w:rPr>
          <w:rFonts w:cs="Times New Roman"/>
          <w:szCs w:val="24"/>
        </w:rPr>
        <mc:AlternateContent>
          <mc:Choice Requires="wpg">
            <w:drawing>
              <wp:anchor distT="0" distB="0" distL="114300" distR="114300" simplePos="0" relativeHeight="251659264" behindDoc="0" locked="0" layoutInCell="1" allowOverlap="1">
                <wp:simplePos x="0" y="0"/>
                <wp:positionH relativeFrom="column">
                  <wp:posOffset>1171575</wp:posOffset>
                </wp:positionH>
                <wp:positionV relativeFrom="paragraph">
                  <wp:posOffset>295275</wp:posOffset>
                </wp:positionV>
                <wp:extent cx="3171825" cy="4794250"/>
                <wp:effectExtent l="6350" t="6350" r="22225" b="19050"/>
                <wp:wrapTopAndBottom/>
                <wp:docPr id="3" name="组合 3"/>
                <wp:cNvGraphicFramePr/>
                <a:graphic xmlns:a="http://schemas.openxmlformats.org/drawingml/2006/main">
                  <a:graphicData uri="http://schemas.microsoft.com/office/word/2010/wordprocessingGroup">
                    <wpg:wgp>
                      <wpg:cNvGrpSpPr/>
                      <wpg:grpSpPr>
                        <a:xfrm>
                          <a:off x="0" y="0"/>
                          <a:ext cx="3171825" cy="4794250"/>
                          <a:chOff x="0" y="0"/>
                          <a:chExt cx="2726267" cy="4794250"/>
                        </a:xfrm>
                      </wpg:grpSpPr>
                      <wps:wsp>
                        <wps:cNvPr id="27" name="矩形 27"/>
                        <wps:cNvSpPr/>
                        <wps:spPr>
                          <a:xfrm>
                            <a:off x="66675" y="0"/>
                            <a:ext cx="2592000" cy="270000"/>
                          </a:xfrm>
                          <a:prstGeom prst="rect">
                            <a:avLst/>
                          </a:prstGeom>
                        </wps:spPr>
                        <wps:style>
                          <a:lnRef idx="2">
                            <a:schemeClr val="dk1"/>
                          </a:lnRef>
                          <a:fillRef idx="1">
                            <a:schemeClr val="lt1"/>
                          </a:fillRef>
                          <a:effectRef idx="0">
                            <a:schemeClr val="dk1"/>
                          </a:effectRef>
                          <a:fontRef idx="minor">
                            <a:schemeClr val="dk1"/>
                          </a:fontRef>
                        </wps:style>
                        <wps:txbx>
                          <w:txbxContent>
                            <w:p>
                              <w:pPr>
                                <w:pStyle w:val="33"/>
                              </w:pPr>
                              <w:r>
                                <w:rPr>
                                  <w:rFonts w:hint="eastAsia"/>
                                </w:rPr>
                                <w:t>水源地水质、环境状况调查</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8" name="直接箭头连接符 28"/>
                        <wps:cNvCnPr/>
                        <wps:spPr>
                          <a:xfrm>
                            <a:off x="1381125" y="285750"/>
                            <a:ext cx="0" cy="216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 name="矩形 29"/>
                        <wps:cNvSpPr/>
                        <wps:spPr>
                          <a:xfrm>
                            <a:off x="66675" y="514350"/>
                            <a:ext cx="2592000" cy="270000"/>
                          </a:xfrm>
                          <a:prstGeom prst="rect">
                            <a:avLst/>
                          </a:prstGeom>
                        </wps:spPr>
                        <wps:style>
                          <a:lnRef idx="2">
                            <a:schemeClr val="dk1"/>
                          </a:lnRef>
                          <a:fillRef idx="1">
                            <a:schemeClr val="lt1"/>
                          </a:fillRef>
                          <a:effectRef idx="0">
                            <a:schemeClr val="dk1"/>
                          </a:effectRef>
                          <a:fontRef idx="minor">
                            <a:schemeClr val="dk1"/>
                          </a:fontRef>
                        </wps:style>
                        <wps:txbx>
                          <w:txbxContent>
                            <w:p>
                              <w:pPr>
                                <w:pStyle w:val="33"/>
                              </w:pPr>
                              <w:r>
                                <w:rPr>
                                  <w:rFonts w:hint="eastAsia"/>
                                </w:rPr>
                                <w:t>分析问题清单、识别环境风险</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0" name="直接箭头连接符 30"/>
                        <wps:cNvCnPr/>
                        <wps:spPr>
                          <a:xfrm>
                            <a:off x="1381125" y="790575"/>
                            <a:ext cx="0" cy="215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1" name="矩形 31"/>
                        <wps:cNvSpPr/>
                        <wps:spPr>
                          <a:xfrm>
                            <a:off x="638175" y="1009650"/>
                            <a:ext cx="1439545" cy="269875"/>
                          </a:xfrm>
                          <a:prstGeom prst="rect">
                            <a:avLst/>
                          </a:prstGeom>
                        </wps:spPr>
                        <wps:style>
                          <a:lnRef idx="2">
                            <a:schemeClr val="dk1"/>
                          </a:lnRef>
                          <a:fillRef idx="1">
                            <a:schemeClr val="lt1"/>
                          </a:fillRef>
                          <a:effectRef idx="0">
                            <a:schemeClr val="dk1"/>
                          </a:effectRef>
                          <a:fontRef idx="minor">
                            <a:schemeClr val="dk1"/>
                          </a:fontRef>
                        </wps:style>
                        <wps:txbx>
                          <w:txbxContent>
                            <w:p>
                              <w:pPr>
                                <w:pStyle w:val="33"/>
                              </w:pPr>
                              <w:r>
                                <w:rPr>
                                  <w:rFonts w:hint="eastAsia"/>
                                </w:rPr>
                                <w:t>环境管理要求</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2" name="直接箭头连接符 32"/>
                        <wps:cNvCnPr/>
                        <wps:spPr>
                          <a:xfrm>
                            <a:off x="1381125" y="1276350"/>
                            <a:ext cx="0" cy="216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3" name="矩形 33"/>
                        <wps:cNvSpPr/>
                        <wps:spPr>
                          <a:xfrm>
                            <a:off x="638175" y="1514475"/>
                            <a:ext cx="1440000" cy="270000"/>
                          </a:xfrm>
                          <a:prstGeom prst="rect">
                            <a:avLst/>
                          </a:prstGeom>
                        </wps:spPr>
                        <wps:style>
                          <a:lnRef idx="2">
                            <a:schemeClr val="dk1"/>
                          </a:lnRef>
                          <a:fillRef idx="1">
                            <a:schemeClr val="lt1"/>
                          </a:fillRef>
                          <a:effectRef idx="0">
                            <a:schemeClr val="dk1"/>
                          </a:effectRef>
                          <a:fontRef idx="minor">
                            <a:schemeClr val="dk1"/>
                          </a:fontRef>
                        </wps:style>
                        <wps:txbx>
                          <w:txbxContent>
                            <w:p>
                              <w:pPr>
                                <w:pStyle w:val="33"/>
                              </w:pPr>
                              <w:r>
                                <w:rPr>
                                  <w:rFonts w:hint="eastAsia"/>
                                </w:rPr>
                                <w:t>筛选划分方法</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4" name="直接箭头连接符 34"/>
                        <wps:cNvCnPr/>
                        <wps:spPr>
                          <a:xfrm>
                            <a:off x="1371600" y="1781175"/>
                            <a:ext cx="0" cy="215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5" name="矩形 35"/>
                        <wps:cNvSpPr/>
                        <wps:spPr>
                          <a:xfrm>
                            <a:off x="295275" y="2009775"/>
                            <a:ext cx="2141855" cy="269875"/>
                          </a:xfrm>
                          <a:prstGeom prst="rect">
                            <a:avLst/>
                          </a:prstGeom>
                        </wps:spPr>
                        <wps:style>
                          <a:lnRef idx="2">
                            <a:schemeClr val="dk1"/>
                          </a:lnRef>
                          <a:fillRef idx="1">
                            <a:schemeClr val="lt1"/>
                          </a:fillRef>
                          <a:effectRef idx="0">
                            <a:schemeClr val="dk1"/>
                          </a:effectRef>
                          <a:fontRef idx="minor">
                            <a:schemeClr val="dk1"/>
                          </a:fontRef>
                        </wps:style>
                        <wps:txbx>
                          <w:txbxContent>
                            <w:p>
                              <w:pPr>
                                <w:pStyle w:val="33"/>
                              </w:pPr>
                              <w:r>
                                <w:rPr>
                                  <w:rFonts w:hint="eastAsia"/>
                                </w:rPr>
                                <w:t>分析计算确定保护区范围</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6" name="直接箭头连接符 36"/>
                        <wps:cNvCnPr/>
                        <wps:spPr>
                          <a:xfrm>
                            <a:off x="1381125" y="2266950"/>
                            <a:ext cx="0" cy="215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7" name="矩形 37"/>
                        <wps:cNvSpPr/>
                        <wps:spPr>
                          <a:xfrm>
                            <a:off x="104775" y="2505075"/>
                            <a:ext cx="2514600" cy="269875"/>
                          </a:xfrm>
                          <a:prstGeom prst="rect">
                            <a:avLst/>
                          </a:prstGeom>
                        </wps:spPr>
                        <wps:style>
                          <a:lnRef idx="2">
                            <a:schemeClr val="dk1"/>
                          </a:lnRef>
                          <a:fillRef idx="1">
                            <a:schemeClr val="lt1"/>
                          </a:fillRef>
                          <a:effectRef idx="0">
                            <a:schemeClr val="dk1"/>
                          </a:effectRef>
                          <a:fontRef idx="minor">
                            <a:schemeClr val="dk1"/>
                          </a:fontRef>
                        </wps:style>
                        <wps:txbx>
                          <w:txbxContent>
                            <w:p>
                              <w:pPr>
                                <w:pStyle w:val="33"/>
                              </w:pPr>
                              <w:r>
                                <w:rPr>
                                  <w:rFonts w:hint="eastAsia"/>
                                </w:rPr>
                                <w:t>现场定界、初步确定经纬度坐标</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8" name="直接箭头连接符 38"/>
                        <wps:cNvCnPr/>
                        <wps:spPr>
                          <a:xfrm>
                            <a:off x="1381125" y="2781300"/>
                            <a:ext cx="0" cy="216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9" name="矩形 39"/>
                        <wps:cNvSpPr/>
                        <wps:spPr>
                          <a:xfrm>
                            <a:off x="638175" y="3009900"/>
                            <a:ext cx="1440000" cy="270510"/>
                          </a:xfrm>
                          <a:prstGeom prst="rect">
                            <a:avLst/>
                          </a:prstGeom>
                        </wps:spPr>
                        <wps:style>
                          <a:lnRef idx="2">
                            <a:schemeClr val="dk1"/>
                          </a:lnRef>
                          <a:fillRef idx="1">
                            <a:schemeClr val="lt1"/>
                          </a:fillRef>
                          <a:effectRef idx="0">
                            <a:schemeClr val="dk1"/>
                          </a:effectRef>
                          <a:fontRef idx="minor">
                            <a:schemeClr val="dk1"/>
                          </a:fontRef>
                        </wps:style>
                        <wps:txbx>
                          <w:txbxContent>
                            <w:p>
                              <w:pPr>
                                <w:pStyle w:val="33"/>
                              </w:pPr>
                              <w:r>
                                <w:rPr>
                                  <w:rFonts w:hint="eastAsia"/>
                                </w:rPr>
                                <w:t>编制技术报告</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0" name="直接箭头连接符 40"/>
                        <wps:cNvCnPr/>
                        <wps:spPr>
                          <a:xfrm>
                            <a:off x="1381125" y="3286125"/>
                            <a:ext cx="0" cy="216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1" name="矩形 41"/>
                        <wps:cNvSpPr/>
                        <wps:spPr>
                          <a:xfrm>
                            <a:off x="733425" y="3514725"/>
                            <a:ext cx="1260000" cy="270000"/>
                          </a:xfrm>
                          <a:prstGeom prst="rect">
                            <a:avLst/>
                          </a:prstGeom>
                        </wps:spPr>
                        <wps:style>
                          <a:lnRef idx="2">
                            <a:schemeClr val="dk1"/>
                          </a:lnRef>
                          <a:fillRef idx="1">
                            <a:schemeClr val="lt1"/>
                          </a:fillRef>
                          <a:effectRef idx="0">
                            <a:schemeClr val="dk1"/>
                          </a:effectRef>
                          <a:fontRef idx="minor">
                            <a:schemeClr val="dk1"/>
                          </a:fontRef>
                        </wps:style>
                        <wps:txbx>
                          <w:txbxContent>
                            <w:p>
                              <w:pPr>
                                <w:pStyle w:val="33"/>
                              </w:pPr>
                              <w:r>
                                <w:rPr>
                                  <w:rFonts w:hint="eastAsia"/>
                                </w:rPr>
                                <w:t>专家审议</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2" name="直接箭头连接符 42"/>
                        <wps:cNvCnPr/>
                        <wps:spPr>
                          <a:xfrm>
                            <a:off x="1371600" y="3781425"/>
                            <a:ext cx="0" cy="2201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3" name="矩形 43"/>
                        <wps:cNvSpPr/>
                        <wps:spPr>
                          <a:xfrm>
                            <a:off x="0" y="4019550"/>
                            <a:ext cx="2726267" cy="270000"/>
                          </a:xfrm>
                          <a:prstGeom prst="rect">
                            <a:avLst/>
                          </a:prstGeom>
                        </wps:spPr>
                        <wps:style>
                          <a:lnRef idx="2">
                            <a:schemeClr val="dk1"/>
                          </a:lnRef>
                          <a:fillRef idx="1">
                            <a:schemeClr val="lt1"/>
                          </a:fillRef>
                          <a:effectRef idx="0">
                            <a:schemeClr val="dk1"/>
                          </a:effectRef>
                          <a:fontRef idx="minor">
                            <a:schemeClr val="dk1"/>
                          </a:fontRef>
                        </wps:style>
                        <wps:txbx>
                          <w:txbxContent>
                            <w:p>
                              <w:pPr>
                                <w:pStyle w:val="33"/>
                              </w:pPr>
                              <w:r>
                                <w:rPr>
                                  <w:rFonts w:hint="eastAsia"/>
                                </w:rPr>
                                <w:t>最终修订边界坐标、制作保护区图件</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4" name="直接箭头连接符 44"/>
                        <wps:cNvCnPr/>
                        <wps:spPr>
                          <a:xfrm>
                            <a:off x="1381125" y="4295775"/>
                            <a:ext cx="0" cy="215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5" name="矩形 45"/>
                        <wps:cNvSpPr/>
                        <wps:spPr>
                          <a:xfrm>
                            <a:off x="638175" y="4524375"/>
                            <a:ext cx="1439545" cy="269875"/>
                          </a:xfrm>
                          <a:prstGeom prst="rect">
                            <a:avLst/>
                          </a:prstGeom>
                        </wps:spPr>
                        <wps:style>
                          <a:lnRef idx="2">
                            <a:schemeClr val="dk1"/>
                          </a:lnRef>
                          <a:fillRef idx="1">
                            <a:schemeClr val="lt1"/>
                          </a:fillRef>
                          <a:effectRef idx="0">
                            <a:schemeClr val="dk1"/>
                          </a:effectRef>
                          <a:fontRef idx="minor">
                            <a:schemeClr val="dk1"/>
                          </a:fontRef>
                        </wps:style>
                        <wps:txbx>
                          <w:txbxContent>
                            <w:p>
                              <w:pPr>
                                <w:pStyle w:val="33"/>
                              </w:pPr>
                              <w:r>
                                <w:rPr>
                                  <w:rFonts w:hint="eastAsia"/>
                                </w:rPr>
                                <w:t>报政府审批</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92.25pt;margin-top:23.25pt;height:377.5pt;width:249.75pt;mso-wrap-distance-bottom:0pt;mso-wrap-distance-top:0pt;z-index:251659264;mso-width-relative:page;mso-height-relative:page;" coordsize="2726267,4794250" o:gfxdata="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">
                <o:lock v:ext="edit" aspectratio="f"/>
                <v:rect id="_x0000_s1026" o:spid="_x0000_s1026" o:spt="1" style="position:absolute;left:66675;top:0;height:270000;width:2592000;v-text-anchor:middle;" fillcolor="#FFFFFF [3201]" filled="t" stroked="t" coordsize="21600,21600" o:gfxdata="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EVDovQAA&#10;ANsAAAAPAAAAAAAAAAEAIAAAACIAAABkcnMvZG93bnJldi54bWxQSwECFAAUAAAACACHTuJAMy8F&#10;njsAAAA5AAAAEAAAAAAAAAABACAAAAAMAQAAZHJzL3NoYXBleG1sLnhtbFBLBQYAAAAABgAGAFsB&#10;AAC2AwAAAAA=&#10;">
                  <v:fill on="t" focussize="0,0"/>
                  <v:stroke weight="1pt" color="#000000 [3200]" miterlimit="8" joinstyle="miter"/>
                  <v:imagedata o:title=""/>
                  <o:lock v:ext="edit" aspectratio="f"/>
                  <v:textbox>
                    <w:txbxContent>
                      <w:p>
                        <w:pPr>
                          <w:pStyle w:val="33"/>
                        </w:pPr>
                        <w:r>
                          <w:rPr>
                            <w:rFonts w:hint="eastAsia"/>
                          </w:rPr>
                          <w:t>水源地水质、环境状况调查</w:t>
                        </w:r>
                      </w:p>
                    </w:txbxContent>
                  </v:textbox>
                </v:rect>
                <v:shape id="_x0000_s1026" o:spid="_x0000_s1026" o:spt="32" type="#_x0000_t32" style="position:absolute;left:1381125;top:285750;height:216000;width:0;" filled="f" stroked="t" coordsize="21600,21600" o:gfxdata="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5YaZ0ugAAANsA&#10;AAAPAAAAAAAAAAEAIAAAACIAAABkcnMvZG93bnJldi54bWxQSwECFAAUAAAACACHTuJAMy8FnjsA&#10;AAA5AAAAEAAAAAAAAAABACAAAAAJAQAAZHJzL3NoYXBleG1sLnhtbFBLBQYAAAAABgAGAFsBAACz&#10;AwAAAAA=&#10;">
                  <v:fill on="f" focussize="0,0"/>
                  <v:stroke weight="0.5pt" color="#000000 [3200]" miterlimit="8" joinstyle="miter" endarrow="block"/>
                  <v:imagedata o:title=""/>
                  <o:lock v:ext="edit" aspectratio="f"/>
                </v:shape>
                <v:rect id="_x0000_s1026" o:spid="_x0000_s1026" o:spt="1" style="position:absolute;left:66675;top:514350;height:270000;width:2592000;v-text-anchor:middle;" fillcolor="#FFFFFF [3201]" filled="t" stroked="t" coordsize="21600,21600" o:gfxdata="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wmEBvQAA&#10;ANsAAAAPAAAAAAAAAAEAIAAAACIAAABkcnMvZG93bnJldi54bWxQSwECFAAUAAAACACHTuJAMy8F&#10;njsAAAA5AAAAEAAAAAAAAAABACAAAAAMAQAAZHJzL3NoYXBleG1sLnhtbFBLBQYAAAAABgAGAFsB&#10;AAC2AwAAAAA=&#10;">
                  <v:fill on="t" focussize="0,0"/>
                  <v:stroke weight="1pt" color="#000000 [3200]" miterlimit="8" joinstyle="miter"/>
                  <v:imagedata o:title=""/>
                  <o:lock v:ext="edit" aspectratio="f"/>
                  <v:textbox>
                    <w:txbxContent>
                      <w:p>
                        <w:pPr>
                          <w:pStyle w:val="33"/>
                        </w:pPr>
                        <w:r>
                          <w:rPr>
                            <w:rFonts w:hint="eastAsia"/>
                          </w:rPr>
                          <w:t>分析问题清单、识别环境风险</w:t>
                        </w:r>
                      </w:p>
                    </w:txbxContent>
                  </v:textbox>
                </v:rect>
                <v:shape id="_x0000_s1026" o:spid="_x0000_s1026" o:spt="32" type="#_x0000_t32" style="position:absolute;left:1381125;top:790575;height:215900;width:0;" filled="f" stroked="t" coordsize="21600,21600" o:gfxdata="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LOPK+5AAAA2wAA&#10;AA8AAAAAAAAAAQAgAAAAIgAAAGRycy9kb3ducmV2LnhtbFBLAQIUABQAAAAIAIdO4kAzLwWeOwAA&#10;ADkAAAAQAAAAAAAAAAEAIAAAAAgBAABkcnMvc2hhcGV4bWwueG1sUEsFBgAAAAAGAAYAWwEAALID&#10;AAAAAA==&#10;">
                  <v:fill on="f" focussize="0,0"/>
                  <v:stroke weight="0.5pt" color="#000000 [3200]" miterlimit="8" joinstyle="miter" endarrow="block"/>
                  <v:imagedata o:title=""/>
                  <o:lock v:ext="edit" aspectratio="f"/>
                </v:shape>
                <v:rect id="_x0000_s1026" o:spid="_x0000_s1026" o:spt="1" style="position:absolute;left:638175;top:1009650;height:269875;width:1439545;v-text-anchor:middle;" fillcolor="#FFFFFF [3201]" filled="t" stroked="t" coordsize="21600,21600" o:gfxdata="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bfvavQAA&#10;ANsAAAAPAAAAAAAAAAEAIAAAACIAAABkcnMvZG93bnJldi54bWxQSwECFAAUAAAACACHTuJAMy8F&#10;njsAAAA5AAAAEAAAAAAAAAABACAAAAAMAQAAZHJzL3NoYXBleG1sLnhtbFBLBQYAAAAABgAGAFsB&#10;AAC2AwAAAAA=&#10;">
                  <v:fill on="t" focussize="0,0"/>
                  <v:stroke weight="1pt" color="#000000 [3200]" miterlimit="8" joinstyle="miter"/>
                  <v:imagedata o:title=""/>
                  <o:lock v:ext="edit" aspectratio="f"/>
                  <v:textbox>
                    <w:txbxContent>
                      <w:p>
                        <w:pPr>
                          <w:pStyle w:val="33"/>
                        </w:pPr>
                        <w:r>
                          <w:rPr>
                            <w:rFonts w:hint="eastAsia"/>
                          </w:rPr>
                          <w:t>环境管理要求</w:t>
                        </w:r>
                      </w:p>
                    </w:txbxContent>
                  </v:textbox>
                </v:rect>
                <v:shape id="_x0000_s1026" o:spid="_x0000_s1026" o:spt="32" type="#_x0000_t32" style="position:absolute;left:1381125;top:1276350;height:216000;width:0;" filled="f" stroked="t" coordsize="21600,21600" o:gfxdata="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UAdDvQAA&#10;ANsAAAAPAAAAAAAAAAEAIAAAACIAAABkcnMvZG93bnJldi54bWxQSwECFAAUAAAACACHTuJAMy8F&#10;njsAAAA5AAAAEAAAAAAAAAABACAAAAAMAQAAZHJzL3NoYXBleG1sLnhtbFBLBQYAAAAABgAGAFsB&#10;AAC2AwAAAAA=&#10;">
                  <v:fill on="f" focussize="0,0"/>
                  <v:stroke weight="0.5pt" color="#000000 [3200]" miterlimit="8" joinstyle="miter" endarrow="block"/>
                  <v:imagedata o:title=""/>
                  <o:lock v:ext="edit" aspectratio="f"/>
                </v:shape>
                <v:rect id="_x0000_s1026" o:spid="_x0000_s1026" o:spt="1" style="position:absolute;left:638175;top:1514475;height:270000;width:1440000;v-text-anchor:middle;" fillcolor="#FFFFFF [3201]" filled="t" stroked="t" coordsize="21600,21600" o:gfxdata="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PzwDa8AAAA&#10;2wAAAA8AAAAAAAAAAQAgAAAAIgAAAGRycy9kb3ducmV2LnhtbFBLAQIUABQAAAAIAIdO4kAzLwWe&#10;OwAAADkAAAAQAAAAAAAAAAEAIAAAAAsBAABkcnMvc2hhcGV4bWwueG1sUEsFBgAAAAAGAAYAWwEA&#10;ALUDAAAAAA==&#10;">
                  <v:fill on="t" focussize="0,0"/>
                  <v:stroke weight="1pt" color="#000000 [3200]" miterlimit="8" joinstyle="miter"/>
                  <v:imagedata o:title=""/>
                  <o:lock v:ext="edit" aspectratio="f"/>
                  <v:textbox>
                    <w:txbxContent>
                      <w:p>
                        <w:pPr>
                          <w:pStyle w:val="33"/>
                        </w:pPr>
                        <w:r>
                          <w:rPr>
                            <w:rFonts w:hint="eastAsia"/>
                          </w:rPr>
                          <w:t>筛选划分方法</w:t>
                        </w:r>
                      </w:p>
                    </w:txbxContent>
                  </v:textbox>
                </v:rect>
                <v:shape id="_x0000_s1026" o:spid="_x0000_s1026" o:spt="32" type="#_x0000_t32" style="position:absolute;left:1371600;top:1781175;height:215900;width:0;" filled="f" stroked="t" coordsize="21600,21600" o:gfxdata="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fU6rLsAAADb&#10;AAAADwAAAAAAAAABACAAAAAiAAAAZHJzL2Rvd25yZXYueG1sUEsBAhQAFAAAAAgAh07iQDMvBZ47&#10;AAAAOQAAABAAAAAAAAAAAQAgAAAACgEAAGRycy9zaGFwZXhtbC54bWxQSwUGAAAAAAYABgBbAQAA&#10;tAMAAAAA&#10;">
                  <v:fill on="f" focussize="0,0"/>
                  <v:stroke weight="0.5pt" color="#000000 [3200]" miterlimit="8" joinstyle="miter" endarrow="block"/>
                  <v:imagedata o:title=""/>
                  <o:lock v:ext="edit" aspectratio="f"/>
                </v:shape>
                <v:rect id="_x0000_s1026" o:spid="_x0000_s1026" o:spt="1" style="position:absolute;left:295275;top:2009775;height:269875;width:2141855;v-text-anchor:middle;" fillcolor="#FFFFFF [3201]" filled="t" stroked="t" coordsize="21600,21600" o:gfxdata="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Vv3ZvQAA&#10;ANsAAAAPAAAAAAAAAAEAIAAAACIAAABkcnMvZG93bnJldi54bWxQSwECFAAUAAAACACHTuJAMy8F&#10;njsAAAA5AAAAEAAAAAAAAAABACAAAAAMAQAAZHJzL3NoYXBleG1sLnhtbFBLBQYAAAAABgAGAFsB&#10;AAC2AwAAAAA=&#10;">
                  <v:fill on="t" focussize="0,0"/>
                  <v:stroke weight="1pt" color="#000000 [3200]" miterlimit="8" joinstyle="miter"/>
                  <v:imagedata o:title=""/>
                  <o:lock v:ext="edit" aspectratio="f"/>
                  <v:textbox>
                    <w:txbxContent>
                      <w:p>
                        <w:pPr>
                          <w:pStyle w:val="33"/>
                        </w:pPr>
                        <w:r>
                          <w:rPr>
                            <w:rFonts w:hint="eastAsia"/>
                          </w:rPr>
                          <w:t>分析计算确定保护区范围</w:t>
                        </w:r>
                      </w:p>
                    </w:txbxContent>
                  </v:textbox>
                </v:rect>
                <v:shape id="_x0000_s1026" o:spid="_x0000_s1026" o:spt="32" type="#_x0000_t32" style="position:absolute;left:1381125;top:2266950;height:215900;width:0;" filled="f" stroked="t" coordsize="21600,21600" o:gfxdata="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msBQLsAAADb&#10;AAAADwAAAAAAAAABACAAAAAiAAAAZHJzL2Rvd25yZXYueG1sUEsBAhQAFAAAAAgAh07iQDMvBZ47&#10;AAAAOQAAABAAAAAAAAAAAQAgAAAACgEAAGRycy9zaGFwZXhtbC54bWxQSwUGAAAAAAYABgBbAQAA&#10;tAMAAAAA&#10;">
                  <v:fill on="f" focussize="0,0"/>
                  <v:stroke weight="0.5pt" color="#000000 [3200]" miterlimit="8" joinstyle="miter" endarrow="block"/>
                  <v:imagedata o:title=""/>
                  <o:lock v:ext="edit" aspectratio="f"/>
                </v:shape>
                <v:rect id="_x0000_s1026" o:spid="_x0000_s1026" o:spt="1" style="position:absolute;left:104775;top:2505075;height:269875;width:2514600;v-text-anchor:middle;" fillcolor="#FFFFFF [3201]" filled="t" stroked="t" coordsize="21600,21600" o:gfxdata="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8yMY1vQAA&#10;ANsAAAAPAAAAAAAAAAEAIAAAACIAAABkcnMvZG93bnJldi54bWxQSwECFAAUAAAACACHTuJAMy8F&#10;njsAAAA5AAAAEAAAAAAAAAABACAAAAAMAQAAZHJzL3NoYXBleG1sLnhtbFBLBQYAAAAABgAGAFsB&#10;AAC2AwAAAAA=&#10;">
                  <v:fill on="t" focussize="0,0"/>
                  <v:stroke weight="1pt" color="#000000 [3200]" miterlimit="8" joinstyle="miter"/>
                  <v:imagedata o:title=""/>
                  <o:lock v:ext="edit" aspectratio="f"/>
                  <v:textbox>
                    <w:txbxContent>
                      <w:p>
                        <w:pPr>
                          <w:pStyle w:val="33"/>
                        </w:pPr>
                        <w:r>
                          <w:rPr>
                            <w:rFonts w:hint="eastAsia"/>
                          </w:rPr>
                          <w:t>现场定界、初步确定经纬度坐标</w:t>
                        </w:r>
                      </w:p>
                    </w:txbxContent>
                  </v:textbox>
                </v:rect>
                <v:shape id="_x0000_s1026" o:spid="_x0000_s1026" o:spt="32" type="#_x0000_t32" style="position:absolute;left:1381125;top:2781300;height:216000;width:0;" filled="f" stroked="t" coordsize="21600,21600" o:gfxdata="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y4MKm5AAAA2wAA&#10;AA8AAAAAAAAAAQAgAAAAIgAAAGRycy9kb3ducmV2LnhtbFBLAQIUABQAAAAIAIdO4kAzLwWeOwAA&#10;ADkAAAAQAAAAAAAAAAEAIAAAAAgBAABkcnMvc2hhcGV4bWwueG1sUEsFBgAAAAAGAAYAWwEAALID&#10;AAAAAA==&#10;">
                  <v:fill on="f" focussize="0,0"/>
                  <v:stroke weight="0.5pt" color="#000000 [3200]" miterlimit="8" joinstyle="miter" endarrow="block"/>
                  <v:imagedata o:title=""/>
                  <o:lock v:ext="edit" aspectratio="f"/>
                </v:shape>
                <v:rect id="_x0000_s1026" o:spid="_x0000_s1026" o:spt="1" style="position:absolute;left:638175;top:3009900;height:270510;width:1440000;v-text-anchor:middle;" fillcolor="#FFFFFF [3201]" filled="t" stroked="t" coordsize="21600,21600" o:gfxdata="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G/fcvQAA&#10;ANsAAAAPAAAAAAAAAAEAIAAAACIAAABkcnMvZG93bnJldi54bWxQSwECFAAUAAAACACHTuJAMy8F&#10;njsAAAA5AAAAEAAAAAAAAAABACAAAAAMAQAAZHJzL3NoYXBleG1sLnhtbFBLBQYAAAAABgAGAFsB&#10;AAC2AwAAAAA=&#10;">
                  <v:fill on="t" focussize="0,0"/>
                  <v:stroke weight="1pt" color="#000000 [3200]" miterlimit="8" joinstyle="miter"/>
                  <v:imagedata o:title=""/>
                  <o:lock v:ext="edit" aspectratio="f"/>
                  <v:textbox>
                    <w:txbxContent>
                      <w:p>
                        <w:pPr>
                          <w:pStyle w:val="33"/>
                        </w:pPr>
                        <w:r>
                          <w:rPr>
                            <w:rFonts w:hint="eastAsia"/>
                          </w:rPr>
                          <w:t>编制技术报告</w:t>
                        </w:r>
                      </w:p>
                    </w:txbxContent>
                  </v:textbox>
                </v:rect>
                <v:shape id="_x0000_s1026" o:spid="_x0000_s1026" o:spt="32" type="#_x0000_t32" style="position:absolute;left:1381125;top:3286125;height:216000;width:0;" filled="f" stroked="t" coordsize="21600,21600" o:gfxdata="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yE/SugAAANsA&#10;AAAPAAAAAAAAAAEAIAAAACIAAABkcnMvZG93bnJldi54bWxQSwECFAAUAAAACACHTuJAMy8FnjsA&#10;AAA5AAAAEAAAAAAAAAABACAAAAAJAQAAZHJzL3NoYXBleG1sLnhtbFBLBQYAAAAABgAGAFsBAACz&#10;AwAAAAA=&#10;">
                  <v:fill on="f" focussize="0,0"/>
                  <v:stroke weight="0.5pt" color="#000000 [3200]" miterlimit="8" joinstyle="miter" endarrow="block"/>
                  <v:imagedata o:title=""/>
                  <o:lock v:ext="edit" aspectratio="f"/>
                </v:shape>
                <v:rect id="_x0000_s1026" o:spid="_x0000_s1026" o:spt="1" style="position:absolute;left:733425;top:3514725;height:270000;width:1260000;v-text-anchor:middle;" fillcolor="#FFFFFF [3201]" filled="t" stroked="t" coordsize="21600,21600" o:gfxdata="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a4invQAA&#10;ANsAAAAPAAAAAAAAAAEAIAAAACIAAABkcnMvZG93bnJldi54bWxQSwECFAAUAAAACACHTuJAMy8F&#10;njsAAAA5AAAAEAAAAAAAAAABACAAAAAMAQAAZHJzL3NoYXBleG1sLnhtbFBLBQYAAAAABgAGAFsB&#10;AAC2AwAAAAA=&#10;">
                  <v:fill on="t" focussize="0,0"/>
                  <v:stroke weight="1pt" color="#000000 [3200]" miterlimit="8" joinstyle="miter"/>
                  <v:imagedata o:title=""/>
                  <o:lock v:ext="edit" aspectratio="f"/>
                  <v:textbox>
                    <w:txbxContent>
                      <w:p>
                        <w:pPr>
                          <w:pStyle w:val="33"/>
                        </w:pPr>
                        <w:r>
                          <w:rPr>
                            <w:rFonts w:hint="eastAsia"/>
                          </w:rPr>
                          <w:t>专家审议</w:t>
                        </w:r>
                      </w:p>
                    </w:txbxContent>
                  </v:textbox>
                </v:rect>
                <v:shape id="_x0000_s1026" o:spid="_x0000_s1026" o:spt="32" type="#_x0000_t32" style="position:absolute;left:1371600;top:3781425;height:220133;width:0;" filled="f" stroked="t" coordsize="21600,21600" o:gfxdata="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VZ0PrsAAADb&#10;AAAADwAAAAAAAAABACAAAAAiAAAAZHJzL2Rvd25yZXYueG1sUEsBAhQAFAAAAAgAh07iQDMvBZ47&#10;AAAAOQAAABAAAAAAAAAAAQAgAAAACgEAAGRycy9zaGFwZXhtbC54bWxQSwUGAAAAAAYABgBbAQAA&#10;tAMAAAAA&#10;">
                  <v:fill on="f" focussize="0,0"/>
                  <v:stroke weight="0.5pt" color="#000000 [3200]" miterlimit="8" joinstyle="miter" endarrow="block"/>
                  <v:imagedata o:title=""/>
                  <o:lock v:ext="edit" aspectratio="f"/>
                </v:shape>
                <v:rect id="_x0000_s1026" o:spid="_x0000_s1026" o:spt="1" style="position:absolute;left:0;top:4019550;height:270000;width:2726267;v-text-anchor:middle;" fillcolor="#FFFFFF [3201]" filled="t" stroked="t" coordsize="21600,21600" o:gfxdata="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9bNLvQAA&#10;ANsAAAAPAAAAAAAAAAEAIAAAACIAAABkcnMvZG93bnJldi54bWxQSwECFAAUAAAACACHTuJAMy8F&#10;njsAAAA5AAAAEAAAAAAAAAABACAAAAAMAQAAZHJzL3NoYXBleG1sLnhtbFBLBQYAAAAABgAGAFsB&#10;AAC2AwAAAAA=&#10;">
                  <v:fill on="t" focussize="0,0"/>
                  <v:stroke weight="1pt" color="#000000 [3200]" miterlimit="8" joinstyle="miter"/>
                  <v:imagedata o:title=""/>
                  <o:lock v:ext="edit" aspectratio="f"/>
                  <v:textbox>
                    <w:txbxContent>
                      <w:p>
                        <w:pPr>
                          <w:pStyle w:val="33"/>
                        </w:pPr>
                        <w:r>
                          <w:rPr>
                            <w:rFonts w:hint="eastAsia"/>
                          </w:rPr>
                          <w:t>最终修订边界坐标、制作保护区图件</w:t>
                        </w:r>
                      </w:p>
                    </w:txbxContent>
                  </v:textbox>
                </v:rect>
                <v:shape id="_x0000_s1026" o:spid="_x0000_s1026" o:spt="32" type="#_x0000_t32" style="position:absolute;left:1381125;top:4295775;height:215900;width:0;" filled="f" stroked="t" coordsize="21600,21600" o:gfxdata="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fNJ0bsAAADb&#10;AAAADwAAAAAAAAABACAAAAAiAAAAZHJzL2Rvd25yZXYueG1sUEsBAhQAFAAAAAgAh07iQDMvBZ47&#10;AAAAOQAAABAAAAAAAAAAAQAgAAAACgEAAGRycy9zaGFwZXhtbC54bWxQSwUGAAAAAAYABgBbAQAA&#10;tAMAAAAA&#10;">
                  <v:fill on="f" focussize="0,0"/>
                  <v:stroke weight="0.5pt" color="#000000 [3200]" miterlimit="8" joinstyle="miter" endarrow="block"/>
                  <v:imagedata o:title=""/>
                  <o:lock v:ext="edit" aspectratio="f"/>
                </v:shape>
                <v:rect id="_x0000_s1026" o:spid="_x0000_s1026" o:spt="1" style="position:absolute;left:638175;top:4524375;height:269875;width:1439545;v-text-anchor:middle;" fillcolor="#FFFFFF [3201]" filled="t" stroked="t" coordsize="21600,21600" o:gfxdata="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7UI6kvQAA&#10;ANsAAAAPAAAAAAAAAAEAIAAAACIAAABkcnMvZG93bnJldi54bWxQSwECFAAUAAAACACHTuJAMy8F&#10;njsAAAA5AAAAEAAAAAAAAAABACAAAAAMAQAAZHJzL3NoYXBleG1sLnhtbFBLBQYAAAAABgAGAFsB&#10;AAC2AwAAAAA=&#10;">
                  <v:fill on="t" focussize="0,0"/>
                  <v:stroke weight="1pt" color="#000000 [3200]" miterlimit="8" joinstyle="miter"/>
                  <v:imagedata o:title=""/>
                  <o:lock v:ext="edit" aspectratio="f"/>
                  <v:textbox>
                    <w:txbxContent>
                      <w:p>
                        <w:pPr>
                          <w:pStyle w:val="33"/>
                        </w:pPr>
                        <w:r>
                          <w:rPr>
                            <w:rFonts w:hint="eastAsia"/>
                          </w:rPr>
                          <w:t>报政府审批</w:t>
                        </w:r>
                      </w:p>
                    </w:txbxContent>
                  </v:textbox>
                </v:rect>
                <w10:wrap type="topAndBottom"/>
              </v:group>
            </w:pict>
          </mc:Fallback>
        </mc:AlternateContent>
      </w:r>
    </w:p>
    <w:p>
      <w:pPr>
        <w:ind w:firstLine="0" w:firstLineChars="0"/>
        <w:jc w:val="center"/>
        <w:rPr>
          <w:rFonts w:cs="Times New Roman"/>
          <w:b/>
          <w:bCs/>
        </w:rPr>
      </w:pPr>
    </w:p>
    <w:p>
      <w:pPr>
        <w:ind w:firstLine="0" w:firstLineChars="0"/>
        <w:jc w:val="center"/>
        <w:rPr>
          <w:rFonts w:cs="Times New Roman"/>
          <w:b/>
          <w:bCs/>
        </w:rPr>
      </w:pPr>
      <w:r>
        <w:rPr>
          <w:rFonts w:cs="Times New Roman"/>
          <w:b/>
          <w:bCs/>
        </w:rPr>
        <w:t xml:space="preserve">图1-1  </w:t>
      </w:r>
      <w:bookmarkStart w:id="146" w:name="_GoBack"/>
      <w:bookmarkEnd w:id="146"/>
      <w:r>
        <w:rPr>
          <w:rFonts w:hint="eastAsia" w:cs="Times New Roman"/>
          <w:b/>
          <w:bCs/>
          <w:lang w:eastAsia="zh-CN"/>
        </w:rPr>
        <w:t>饮用水</w:t>
      </w:r>
      <w:r>
        <w:rPr>
          <w:rFonts w:cs="Times New Roman"/>
          <w:b/>
          <w:bCs/>
        </w:rPr>
        <w:t>水源保护区划分技术路线图</w:t>
      </w:r>
    </w:p>
    <w:bookmarkEnd w:id="61"/>
    <w:p>
      <w:pPr>
        <w:ind w:firstLine="0" w:firstLineChars="0"/>
        <w:jc w:val="center"/>
        <w:rPr>
          <w:rFonts w:cs="Times New Roman"/>
        </w:rPr>
      </w:pPr>
    </w:p>
    <w:p>
      <w:pPr>
        <w:pStyle w:val="5"/>
        <w:spacing w:line="360" w:lineRule="auto"/>
        <w:rPr>
          <w:rFonts w:cs="Times New Roman"/>
        </w:rPr>
      </w:pPr>
      <w:bookmarkStart w:id="62" w:name="_Toc17840"/>
      <w:r>
        <w:rPr>
          <w:rFonts w:cs="Times New Roman"/>
        </w:rPr>
        <w:t>1.3.2  调查方案</w:t>
      </w:r>
      <w:bookmarkEnd w:id="62"/>
    </w:p>
    <w:p>
      <w:pPr>
        <w:ind w:firstLine="480"/>
        <w:rPr>
          <w:rFonts w:cs="Times New Roman"/>
        </w:rPr>
      </w:pPr>
      <w:r>
        <w:rPr>
          <w:rFonts w:cs="Times New Roman"/>
        </w:rPr>
        <w:t>根据后所镇环保所提供的地形图资料，结合谷歌地球卫星影像，利用ArcGIS软件的水文分析功能模块确认桂花水库流域范围，以此范围作为桂花水库环境状况调查基本范围。</w:t>
      </w:r>
    </w:p>
    <w:p>
      <w:pPr>
        <w:ind w:firstLine="480"/>
        <w:rPr>
          <w:rFonts w:cs="Times New Roman"/>
        </w:rPr>
      </w:pPr>
      <w:r>
        <w:rPr>
          <w:rFonts w:cs="Times New Roman"/>
        </w:rPr>
        <w:t>考虑桂花水库径流范围的实际情况，依据《饮用水水源保护区划技术规范》（HJ 338-2018）附录A，制作了《饮用水水源地环境状况调查表》，详情见</w:t>
      </w:r>
      <w:r>
        <w:rPr>
          <w:rFonts w:hint="eastAsia" w:cs="Times New Roman"/>
        </w:rPr>
        <w:t>附件3</w:t>
      </w:r>
      <w:r>
        <w:rPr>
          <w:rFonts w:cs="Times New Roman"/>
        </w:rPr>
        <w:t>。环境状况调查时，使用奥维互动地图采集现场地物的地理信息，并使用无人机对水库周边环境进行航拍以辅助调查。</w:t>
      </w:r>
    </w:p>
    <w:p>
      <w:pPr>
        <w:pStyle w:val="5"/>
        <w:spacing w:line="360" w:lineRule="auto"/>
        <w:rPr>
          <w:rFonts w:cs="Times New Roman"/>
        </w:rPr>
      </w:pPr>
      <w:bookmarkStart w:id="63" w:name="_Toc30156"/>
      <w:r>
        <w:rPr>
          <w:rFonts w:cs="Times New Roman"/>
        </w:rPr>
        <w:t>1.3.3  数据质量控制</w:t>
      </w:r>
      <w:bookmarkEnd w:id="63"/>
    </w:p>
    <w:p>
      <w:pPr>
        <w:ind w:firstLine="480"/>
        <w:rPr>
          <w:rFonts w:cs="Times New Roman"/>
        </w:rPr>
      </w:pPr>
      <w:r>
        <w:rPr>
          <w:rFonts w:cs="Times New Roman"/>
        </w:rPr>
        <w:t>结合软件分析结果和现场探勘，最终确定流域范围；水源地基础状况主要采用资料收集方式获取，若信息有疑问的，现场调查的时候落实；社会经济数据采用资料收集和现场调查方式获取；土地利用数据使用谷歌地球影像作为基础，结合</w:t>
      </w:r>
      <w:r>
        <w:rPr>
          <w:rFonts w:hint="eastAsia"/>
        </w:rPr>
        <w:t>富源县自然资源局提供的土地利用现状图和土地利用总体规划图、</w:t>
      </w:r>
      <w:r>
        <w:rPr>
          <w:rFonts w:cs="Times New Roman"/>
        </w:rPr>
        <w:t>无人机航拍和现场调查等手段，在ArcGIS软件中制作；污染源信息主要采用现场调查方式，对流域范围内污染源进行现场核实，并通过查阅资料和现场访问方式了解污染源排污情况；管理状况主要通过现场访问方式获取。</w:t>
      </w:r>
    </w:p>
    <w:p>
      <w:pPr>
        <w:ind w:firstLine="480"/>
        <w:rPr>
          <w:rFonts w:cs="Times New Roman"/>
        </w:rPr>
      </w:pPr>
      <w:r>
        <w:rPr>
          <w:rFonts w:cs="Times New Roman"/>
        </w:rPr>
        <w:t>使用纠正后的谷歌地球卫星影像和地形图作为地理信息的基础底图数据；地理坐标采用大地2000国家大地坐标；原则上测量精度、记录数据和成果的误差控制在0.1m范围内。</w:t>
      </w:r>
    </w:p>
    <w:p>
      <w:pPr>
        <w:pStyle w:val="3"/>
        <w:rPr>
          <w:rFonts w:cs="Times New Roman"/>
        </w:rPr>
      </w:pPr>
      <w:bookmarkStart w:id="64" w:name="_Toc2371_WPSOffice_Level1"/>
      <w:bookmarkStart w:id="65" w:name="_Toc9983_WPSOffice_Level1"/>
      <w:bookmarkStart w:id="66" w:name="_Toc30050"/>
      <w:r>
        <w:rPr>
          <w:rFonts w:cs="Times New Roman"/>
        </w:rPr>
        <w:t>第二章  区域自然环境和社会经济状况</w:t>
      </w:r>
      <w:bookmarkEnd w:id="64"/>
      <w:bookmarkEnd w:id="65"/>
      <w:bookmarkEnd w:id="66"/>
    </w:p>
    <w:p>
      <w:pPr>
        <w:pStyle w:val="4"/>
        <w:spacing w:line="360" w:lineRule="auto"/>
        <w:rPr>
          <w:rFonts w:cs="Times New Roman"/>
        </w:rPr>
      </w:pPr>
      <w:bookmarkStart w:id="67" w:name="_Toc16338"/>
      <w:r>
        <w:rPr>
          <w:rFonts w:cs="Times New Roman"/>
        </w:rPr>
        <w:t>2.1  自然环境状况</w:t>
      </w:r>
      <w:bookmarkEnd w:id="67"/>
    </w:p>
    <w:p>
      <w:pPr>
        <w:pStyle w:val="5"/>
        <w:spacing w:line="360" w:lineRule="auto"/>
        <w:rPr>
          <w:rFonts w:cs="Times New Roman"/>
        </w:rPr>
      </w:pPr>
      <w:bookmarkStart w:id="68" w:name="_Toc23065"/>
      <w:r>
        <w:rPr>
          <w:rFonts w:cs="Times New Roman"/>
        </w:rPr>
        <w:t>2.1.1  地理位置</w:t>
      </w:r>
      <w:bookmarkEnd w:id="68"/>
    </w:p>
    <w:p>
      <w:pPr>
        <w:ind w:firstLine="480"/>
        <w:rPr>
          <w:rFonts w:cs="Times New Roman"/>
        </w:rPr>
      </w:pPr>
      <w:r>
        <w:rPr>
          <w:rFonts w:cs="Times New Roman"/>
        </w:rPr>
        <w:t>桂花水库位于曲靖市富源县后所镇庆云村委会厦卡村上游约500m处，距后所镇约11km，距富源县城26.6km，距曲靖市96km。</w:t>
      </w:r>
      <w:r>
        <w:rPr>
          <w:rFonts w:hint="eastAsia" w:cs="Times New Roman"/>
        </w:rPr>
        <w:t>桂花水库</w:t>
      </w:r>
      <w:r>
        <w:rPr>
          <w:rFonts w:cs="Times New Roman"/>
        </w:rPr>
        <w:t>地理坐标为东经104°21′31″，北纬25°49′37″，</w:t>
      </w:r>
      <w:r>
        <w:rPr>
          <w:rFonts w:hint="eastAsia" w:cs="Times New Roman"/>
        </w:rPr>
        <w:t>流域所属水系为</w:t>
      </w:r>
      <w:r>
        <w:rPr>
          <w:rFonts w:cs="Times New Roman"/>
        </w:rPr>
        <w:t>珠江流域北盘江水系，是嘉河左岸一级支流，水库坝址控制径流面积1.76km</w:t>
      </w:r>
      <w:r>
        <w:rPr>
          <w:rFonts w:cs="Times New Roman"/>
          <w:vertAlign w:val="superscript"/>
        </w:rPr>
        <w:t>2</w:t>
      </w:r>
      <w:r>
        <w:rPr>
          <w:rFonts w:cs="Times New Roman"/>
        </w:rPr>
        <w:t>，是一座以人畜饮水为主的小（二）型水库。</w:t>
      </w:r>
      <w:r>
        <w:rPr>
          <w:rFonts w:cs="Times New Roman"/>
          <w:szCs w:val="24"/>
        </w:rPr>
        <w:t>桂花</w:t>
      </w:r>
      <w:r>
        <w:rPr>
          <w:rFonts w:cs="Times New Roman"/>
          <w:szCs w:val="24"/>
          <w:lang w:val="zh-CN"/>
        </w:rPr>
        <w:t>水库</w:t>
      </w:r>
      <w:r>
        <w:rPr>
          <w:rFonts w:cs="Times New Roman"/>
          <w:szCs w:val="24"/>
        </w:rPr>
        <w:t>地理位置示意图见附图1。</w:t>
      </w:r>
    </w:p>
    <w:p>
      <w:pPr>
        <w:pStyle w:val="5"/>
        <w:spacing w:line="360" w:lineRule="auto"/>
        <w:rPr>
          <w:rFonts w:cs="Times New Roman"/>
        </w:rPr>
      </w:pPr>
      <w:bookmarkStart w:id="69" w:name="_Toc24307"/>
      <w:r>
        <w:rPr>
          <w:rFonts w:cs="Times New Roman"/>
        </w:rPr>
        <w:t>2.1.2  地质地貌</w:t>
      </w:r>
      <w:bookmarkEnd w:id="69"/>
    </w:p>
    <w:p>
      <w:pPr>
        <w:ind w:firstLine="512"/>
        <w:rPr>
          <w:rFonts w:cs="Times New Roman"/>
          <w:spacing w:val="8"/>
          <w:szCs w:val="24"/>
        </w:rPr>
      </w:pPr>
      <w:r>
        <w:rPr>
          <w:rFonts w:cs="Times New Roman"/>
          <w:spacing w:val="8"/>
          <w:szCs w:val="24"/>
        </w:rPr>
        <w:t>富源县地处滇东高原东部山岭区，富源县地势由西北向东南倾斜，乌蒙山支脉自北向南纵贯全境，地形起伏较大，沟谷发育，海拔1700～2300m，以中山为主，平均山地坡度为20°左右。县域北部、中西部为中高山和中山峡谷区，中西北部、中西南部为喀斯特山原区，中部为中山、丘陵区，中南部为中低山河谷坝区。</w:t>
      </w:r>
    </w:p>
    <w:p>
      <w:pPr>
        <w:ind w:firstLine="480"/>
        <w:rPr>
          <w:rFonts w:cs="Times New Roman"/>
          <w:spacing w:val="8"/>
          <w:szCs w:val="24"/>
        </w:rPr>
      </w:pPr>
      <w:r>
        <w:rPr>
          <w:rFonts w:cs="Times New Roman"/>
          <w:szCs w:val="24"/>
        </w:rPr>
        <w:t>桂花水库所在流域</w:t>
      </w:r>
      <w:r>
        <w:rPr>
          <w:rFonts w:cs="Times New Roman"/>
          <w:spacing w:val="8"/>
          <w:szCs w:val="24"/>
        </w:rPr>
        <w:t>属石灰系下统大塘组（C1d）、二叠系下统栖霞茅口组(P1q+m)、二叠系上统峨眉山玄武岩组（P2β）、二叠系上统宣威组（P2xn）三叠系下统飞仙关组（T1f）和第四系（Q）。沿线基岩局部裸露，地表大部为第四系覆盖。</w:t>
      </w:r>
    </w:p>
    <w:p>
      <w:pPr>
        <w:pStyle w:val="5"/>
        <w:spacing w:line="360" w:lineRule="auto"/>
        <w:rPr>
          <w:rFonts w:cs="Times New Roman"/>
        </w:rPr>
      </w:pPr>
      <w:bookmarkStart w:id="70" w:name="_Toc21510"/>
      <w:r>
        <w:rPr>
          <w:rFonts w:cs="Times New Roman"/>
        </w:rPr>
        <w:t>2.1.3  气候气象</w:t>
      </w:r>
      <w:bookmarkEnd w:id="70"/>
    </w:p>
    <w:p>
      <w:pPr>
        <w:ind w:firstLine="480"/>
      </w:pPr>
      <w:r>
        <w:t>区内属高原季风气候，四季气候温和潮湿，光照充足，雨量充沛。冬春季干燥多风、夏秋季潮湿多雨的特点。据富源气象站观测资料统计，雾、风较大，尤以11月到来年4月更为显著，风向多为西南风， 3～5月属风季，主导风向为SW(19%)，夏季主导风向SSW(10%)或S(10%)，冬季主导风向SW(26)%，年平均风速5.2m/s，最大风速24m/s。最冷月为12月至来年3月，时有霜冻及少量冰雪，最热月为7月。最高温34.9℃，</w:t>
      </w:r>
      <w:r>
        <w:rPr>
          <w:spacing w:val="14"/>
        </w:rPr>
        <w:t>最低温－8.6℃，</w:t>
      </w:r>
      <w:r>
        <w:t>年平均气温13.7℃。</w:t>
      </w:r>
      <w:r>
        <w:rPr>
          <w:spacing w:val="14"/>
        </w:rPr>
        <w:t>年平均相对湿度72%</w:t>
      </w:r>
      <w:r>
        <w:t>，</w:t>
      </w:r>
      <w:r>
        <w:rPr>
          <w:spacing w:val="-4"/>
        </w:rPr>
        <w:t>年均降雨量1070mm</w:t>
      </w:r>
      <w:r>
        <w:t>。</w:t>
      </w:r>
      <w:r>
        <w:rPr>
          <w:spacing w:val="14"/>
        </w:rPr>
        <w:t>最大1小时降水量44.6mm，最大6小时暴雨量65.4mm，最大12小时暴雨84.7mm，多年平均蒸发量1150mm。年最多雾日9天，年最多雹日6天，年最多雷雨日数91天，冬季日照率57%。</w:t>
      </w:r>
    </w:p>
    <w:p>
      <w:pPr>
        <w:pStyle w:val="5"/>
        <w:spacing w:line="360" w:lineRule="auto"/>
        <w:rPr>
          <w:rFonts w:cs="Times New Roman"/>
        </w:rPr>
      </w:pPr>
      <w:bookmarkStart w:id="71" w:name="_Toc11739"/>
      <w:r>
        <w:rPr>
          <w:rFonts w:cs="Times New Roman"/>
        </w:rPr>
        <w:t>2.1.4  土壤状况</w:t>
      </w:r>
      <w:bookmarkEnd w:id="71"/>
    </w:p>
    <w:p>
      <w:pPr>
        <w:ind w:firstLine="480"/>
      </w:pPr>
      <w:r>
        <w:t>富源县土壤共有土壤类型共分为8个土类、12个亚类、30个土属、91个土种，全县以红壤、黄棕壤、黄壤和紫色土为主，并有棕壤、石灰土、草甸土、冲积土和水稻土等分布，红壤面积31892.20</w:t>
      </w:r>
      <w:r>
        <w:rPr>
          <w:rFonts w:hint="eastAsia"/>
        </w:rPr>
        <w:t>hm</w:t>
      </w:r>
      <w:r>
        <w:rPr>
          <w:vertAlign w:val="superscript"/>
        </w:rPr>
        <w:t>2</w:t>
      </w:r>
      <w:r>
        <w:t>，占耕地的34.80%。是富源县面积最大的耕地土壤土类。分布在全县除老厂镇外的九镇一乡，在中部、西部和北部地区，分布在海拔1600-2300</w:t>
      </w:r>
      <w:r>
        <w:rPr>
          <w:rFonts w:hint="eastAsia"/>
        </w:rPr>
        <w:t>m</w:t>
      </w:r>
      <w:r>
        <w:t>间的中山河谷、山地和山原面上，在东南部地区，分布在1500</w:t>
      </w:r>
      <w:r>
        <w:rPr>
          <w:rFonts w:hint="eastAsia"/>
        </w:rPr>
        <w:t>m</w:t>
      </w:r>
      <w:r>
        <w:t>以下的中低山山地和河谷。黄棕壤面积22037.36</w:t>
      </w:r>
      <w:r>
        <w:rPr>
          <w:rFonts w:hint="eastAsia"/>
        </w:rPr>
        <w:t xml:space="preserve"> hm</w:t>
      </w:r>
      <w:r>
        <w:rPr>
          <w:vertAlign w:val="superscript"/>
        </w:rPr>
        <w:t>2</w:t>
      </w:r>
      <w:r>
        <w:t>，占耕地的24.05%。分布于海拔2000-2400</w:t>
      </w:r>
      <w:r>
        <w:rPr>
          <w:rFonts w:hint="eastAsia"/>
        </w:rPr>
        <w:t>m</w:t>
      </w:r>
      <w:r>
        <w:t>的山区，在县境北部的黑山地带和西部的东山地带海拔为2200-2400</w:t>
      </w:r>
      <w:r>
        <w:rPr>
          <w:rFonts w:hint="eastAsia"/>
        </w:rPr>
        <w:t>m</w:t>
      </w:r>
      <w:r>
        <w:t>，南部的富村～老厂一带海拔为2000-2300</w:t>
      </w:r>
      <w:r>
        <w:rPr>
          <w:rFonts w:hint="eastAsia"/>
        </w:rPr>
        <w:t>m</w:t>
      </w:r>
      <w:r>
        <w:t>。紫色土面积12835.85</w:t>
      </w:r>
      <w:r>
        <w:rPr>
          <w:rFonts w:hint="eastAsia"/>
        </w:rPr>
        <w:t xml:space="preserve"> hm</w:t>
      </w:r>
      <w:r>
        <w:rPr>
          <w:vertAlign w:val="superscript"/>
        </w:rPr>
        <w:t>2</w:t>
      </w:r>
      <w:r>
        <w:t>，占耕地的14.01%。是富源县非地带性土壤面积最多的类型，分布较散，11个乡镇均有。石灰土面积1382.67</w:t>
      </w:r>
      <w:r>
        <w:rPr>
          <w:rFonts w:hint="eastAsia"/>
        </w:rPr>
        <w:t xml:space="preserve"> hm</w:t>
      </w:r>
      <w:r>
        <w:rPr>
          <w:vertAlign w:val="superscript"/>
        </w:rPr>
        <w:t>2</w:t>
      </w:r>
      <w:r>
        <w:t>，占耕地的1.51%。分布于后所、富村、黄泥河、十八连山、老厂镇局部地段的灰岩坡地、石山缝隙或低洼处。水稻土面积3213.33</w:t>
      </w:r>
      <w:r>
        <w:rPr>
          <w:rFonts w:hint="eastAsia"/>
        </w:rPr>
        <w:t xml:space="preserve"> hm</w:t>
      </w:r>
      <w:r>
        <w:rPr>
          <w:vertAlign w:val="superscript"/>
        </w:rPr>
        <w:t>2</w:t>
      </w:r>
      <w:r>
        <w:t>，占耕地的3.51%。分布在海拔1100-2210</w:t>
      </w:r>
      <w:r>
        <w:rPr>
          <w:rFonts w:hint="eastAsia"/>
        </w:rPr>
        <w:t>m</w:t>
      </w:r>
      <w:r>
        <w:t>间的低中山、中山河谷和山区、半山区水利条件较好的地段。黄壤面积18672.99</w:t>
      </w:r>
      <w:r>
        <w:rPr>
          <w:rFonts w:hint="eastAsia"/>
        </w:rPr>
        <w:t xml:space="preserve"> hm</w:t>
      </w:r>
      <w:r>
        <w:rPr>
          <w:vertAlign w:val="superscript"/>
        </w:rPr>
        <w:t>2</w:t>
      </w:r>
      <w:r>
        <w:t>，占耕地的20.38%。分布在下半县的富村、黄泥河、十八连山、老厂的中山山地，海拔1500-2100</w:t>
      </w:r>
      <w:r>
        <w:rPr>
          <w:rFonts w:hint="eastAsia"/>
        </w:rPr>
        <w:t>m</w:t>
      </w:r>
      <w:r>
        <w:t>。草甸土面积592.22</w:t>
      </w:r>
      <w:r>
        <w:rPr>
          <w:rFonts w:hint="eastAsia"/>
        </w:rPr>
        <w:t xml:space="preserve"> hm</w:t>
      </w:r>
      <w:r>
        <w:rPr>
          <w:vertAlign w:val="superscript"/>
        </w:rPr>
        <w:t>2</w:t>
      </w:r>
      <w:r>
        <w:t>，占耕地的0.65%。积土面积1013.38</w:t>
      </w:r>
      <w:r>
        <w:rPr>
          <w:rFonts w:hint="eastAsia"/>
        </w:rPr>
        <w:t xml:space="preserve"> hm</w:t>
      </w:r>
      <w:r>
        <w:rPr>
          <w:vertAlign w:val="superscript"/>
        </w:rPr>
        <w:t>2</w:t>
      </w:r>
      <w:r>
        <w:t>，占耕地的1.11%。</w:t>
      </w:r>
    </w:p>
    <w:p>
      <w:pPr>
        <w:snapToGrid w:val="0"/>
        <w:ind w:firstLine="480"/>
        <w:rPr>
          <w:rFonts w:cs="Times New Roman"/>
        </w:rPr>
      </w:pPr>
      <w:r>
        <w:rPr>
          <w:rFonts w:cs="Times New Roman"/>
          <w:szCs w:val="24"/>
          <w:lang w:val="zh-CN"/>
        </w:rPr>
        <w:t>水库径流区</w:t>
      </w:r>
      <w:r>
        <w:rPr>
          <w:rFonts w:cs="Times New Roman"/>
          <w:szCs w:val="24"/>
        </w:rPr>
        <w:t>主要成土母质大致可分为古红土、近代母岩分化物和近代洪积冲积三种类型。古红土风化度和淋溶作用强，成土时间长，大多发展成地带性的山地黄壤“类型”；近代母岩风化物风化度浅，成土时间短，大多保留原岩的某些特征，多发育成各类岩成土；洪积冲积母质可能受二者影响，多发育成水稻土、冲积土等。目前水库径流区范围内主要分布有黄红壤、山地黄壤及山地黄棕壤，土壤结构松散～稍密。</w:t>
      </w:r>
    </w:p>
    <w:p>
      <w:pPr>
        <w:pStyle w:val="5"/>
        <w:spacing w:line="360" w:lineRule="auto"/>
        <w:rPr>
          <w:rFonts w:cs="Times New Roman"/>
        </w:rPr>
      </w:pPr>
      <w:bookmarkStart w:id="72" w:name="_Toc26975"/>
      <w:r>
        <w:rPr>
          <w:rFonts w:cs="Times New Roman"/>
        </w:rPr>
        <w:t>2.1.5  植被资源</w:t>
      </w:r>
      <w:bookmarkEnd w:id="72"/>
    </w:p>
    <w:p>
      <w:pPr>
        <w:snapToGrid w:val="0"/>
        <w:ind w:firstLine="480"/>
        <w:jc w:val="left"/>
        <w:rPr>
          <w:rFonts w:cs="Times New Roman"/>
          <w:szCs w:val="24"/>
        </w:rPr>
      </w:pPr>
      <w:r>
        <w:rPr>
          <w:rFonts w:cs="Times New Roman"/>
          <w:bCs/>
          <w:szCs w:val="24"/>
        </w:rPr>
        <w:t>富源县地区属亚热带湿润季风气候，植被类型多为亚热带半湿润常绿阔叶林及暖湿性针叶林，具有较丰富的生物资源，共有45科106种乔木树种资源，全县森林覆盖率达到49.78%。全县有林木用地面积242.76万亩，占总面积的49.78%。林地面积占全县国土面积40.4％，灌木林地占39.5％。自然植被树种以云南松、华山松、楸树等为主，灌木树种有杜鹃、山茶、杨梅、刺柏等，草本植物为黄背草、狗尾草、蕨类、旱茅、白茅、野古草等。植被具有明显的垂直分布性，海拔2000m以上的以针叶林为主，有云南松、华山松等，海拔2000m以下的以阔叶林树种为主，有木兰科、山茶科等。</w:t>
      </w:r>
    </w:p>
    <w:p>
      <w:pPr>
        <w:widowControl/>
        <w:adjustRightInd w:val="0"/>
        <w:snapToGrid w:val="0"/>
        <w:ind w:firstLine="480"/>
        <w:rPr>
          <w:rFonts w:cs="Times New Roman"/>
          <w:kern w:val="0"/>
          <w:szCs w:val="24"/>
        </w:rPr>
      </w:pPr>
      <w:r>
        <w:rPr>
          <w:rFonts w:cs="Times New Roman"/>
          <w:szCs w:val="24"/>
          <w:lang w:val="zh-CN"/>
        </w:rPr>
        <w:t>水库径流区</w:t>
      </w:r>
      <w:r>
        <w:rPr>
          <w:rFonts w:cs="Times New Roman"/>
          <w:kern w:val="0"/>
          <w:szCs w:val="24"/>
        </w:rPr>
        <w:t>主要乔木树种有云南松、华山松、油杉、杉木、黄杉、栎类等；</w:t>
      </w:r>
      <w:r>
        <w:rPr>
          <w:rFonts w:hint="eastAsia" w:cs="Times New Roman"/>
          <w:kern w:val="0"/>
          <w:szCs w:val="24"/>
        </w:rPr>
        <w:t>草本主要</w:t>
      </w:r>
      <w:r>
        <w:rPr>
          <w:rFonts w:cs="Times New Roman"/>
          <w:kern w:val="0"/>
          <w:szCs w:val="24"/>
        </w:rPr>
        <w:t>有白剑杆、野古草、金茅、蜈蚣草等；常见的灌木</w:t>
      </w:r>
      <w:r>
        <w:rPr>
          <w:rFonts w:hint="eastAsia" w:cs="Times New Roman"/>
          <w:kern w:val="0"/>
          <w:szCs w:val="24"/>
        </w:rPr>
        <w:t>树种</w:t>
      </w:r>
      <w:r>
        <w:rPr>
          <w:rFonts w:cs="Times New Roman"/>
          <w:kern w:val="0"/>
          <w:szCs w:val="24"/>
        </w:rPr>
        <w:t>有火把果、耐冬果、苦刺、杨梅、马桑、小叶鸡脚黄连等数十种。目前，</w:t>
      </w:r>
      <w:r>
        <w:rPr>
          <w:rFonts w:cs="Times New Roman"/>
        </w:rPr>
        <w:t>桂花</w:t>
      </w:r>
      <w:r>
        <w:rPr>
          <w:rFonts w:cs="Times New Roman"/>
          <w:lang w:val="zh-CN"/>
        </w:rPr>
        <w:t>水库</w:t>
      </w:r>
      <w:r>
        <w:rPr>
          <w:rFonts w:cs="Times New Roman"/>
          <w:kern w:val="0"/>
          <w:szCs w:val="24"/>
        </w:rPr>
        <w:t>水源地森林覆盖率在85%以上。</w:t>
      </w:r>
    </w:p>
    <w:p>
      <w:pPr>
        <w:widowControl/>
        <w:adjustRightInd w:val="0"/>
        <w:snapToGrid w:val="0"/>
        <w:ind w:firstLine="0" w:firstLineChars="0"/>
        <w:rPr>
          <w:rFonts w:eastAsia="仿宋" w:cs="Times New Roman"/>
          <w:kern w:val="0"/>
          <w:sz w:val="30"/>
          <w:szCs w:val="30"/>
        </w:rPr>
      </w:pPr>
    </w:p>
    <w:p>
      <w:pPr>
        <w:widowControl/>
        <w:adjustRightInd w:val="0"/>
        <w:snapToGrid w:val="0"/>
        <w:ind w:firstLine="0" w:firstLineChars="0"/>
        <w:rPr>
          <w:rFonts w:eastAsia="仿宋" w:cs="Times New Roman"/>
          <w:kern w:val="0"/>
          <w:sz w:val="30"/>
          <w:szCs w:val="30"/>
        </w:rPr>
      </w:pPr>
      <w:r>
        <w:rPr>
          <w:rFonts w:cs="Times New Roman"/>
        </w:rPr>
        <w:drawing>
          <wp:inline distT="0" distB="0" distL="114300" distR="114300">
            <wp:extent cx="5260975" cy="2900680"/>
            <wp:effectExtent l="0" t="0" r="15875" b="1397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3"/>
                    <a:stretch>
                      <a:fillRect/>
                    </a:stretch>
                  </pic:blipFill>
                  <pic:spPr>
                    <a:xfrm>
                      <a:off x="0" y="0"/>
                      <a:ext cx="5260975" cy="2900680"/>
                    </a:xfrm>
                    <a:prstGeom prst="rect">
                      <a:avLst/>
                    </a:prstGeom>
                    <a:noFill/>
                    <a:ln w="9525">
                      <a:noFill/>
                    </a:ln>
                  </pic:spPr>
                </pic:pic>
              </a:graphicData>
            </a:graphic>
          </wp:inline>
        </w:drawing>
      </w:r>
    </w:p>
    <w:p>
      <w:pPr>
        <w:widowControl/>
        <w:adjustRightInd w:val="0"/>
        <w:snapToGrid w:val="0"/>
        <w:ind w:firstLine="482"/>
        <w:jc w:val="center"/>
        <w:rPr>
          <w:rFonts w:cs="Times New Roman"/>
          <w:b/>
          <w:bCs/>
          <w:kern w:val="0"/>
          <w:szCs w:val="21"/>
        </w:rPr>
      </w:pPr>
      <w:r>
        <w:rPr>
          <w:rFonts w:eastAsia="仿宋" w:cs="Times New Roman"/>
          <w:b/>
          <w:bCs/>
          <w:kern w:val="0"/>
          <w:szCs w:val="24"/>
        </w:rPr>
        <w:t>图</w:t>
      </w:r>
      <w:r>
        <w:rPr>
          <w:rFonts w:hint="eastAsia" w:eastAsia="仿宋" w:cs="Times New Roman"/>
          <w:b/>
          <w:bCs/>
          <w:kern w:val="0"/>
          <w:szCs w:val="24"/>
        </w:rPr>
        <w:t>2</w:t>
      </w:r>
      <w:r>
        <w:rPr>
          <w:rFonts w:eastAsia="仿宋" w:cs="Times New Roman"/>
          <w:b/>
          <w:bCs/>
          <w:kern w:val="0"/>
          <w:szCs w:val="24"/>
        </w:rPr>
        <w:t>-1  桂花水库植被状况</w:t>
      </w:r>
    </w:p>
    <w:p>
      <w:pPr>
        <w:pStyle w:val="5"/>
        <w:spacing w:line="360" w:lineRule="auto"/>
        <w:rPr>
          <w:rFonts w:cs="Times New Roman"/>
        </w:rPr>
      </w:pPr>
      <w:bookmarkStart w:id="73" w:name="_Toc16189"/>
      <w:r>
        <w:rPr>
          <w:rFonts w:cs="Times New Roman"/>
        </w:rPr>
        <w:t>2.1.6  水文水系</w:t>
      </w:r>
      <w:bookmarkEnd w:id="73"/>
    </w:p>
    <w:p>
      <w:pPr>
        <w:ind w:firstLine="480"/>
      </w:pPr>
      <w:r>
        <w:t>桂花水库所在流域属珠江流域北盘江水系，是嘉河左岸一级支流，桂花水库总库容27万m</w:t>
      </w:r>
      <w:r>
        <w:rPr>
          <w:vertAlign w:val="superscript"/>
        </w:rPr>
        <w:t>3</w:t>
      </w:r>
      <w:r>
        <w:t>，死库容2.63万m</w:t>
      </w:r>
      <w:r>
        <w:rPr>
          <w:vertAlign w:val="superscript"/>
        </w:rPr>
        <w:t>3</w:t>
      </w:r>
      <w:r>
        <w:t>，兴利库容20万m</w:t>
      </w:r>
      <w:r>
        <w:rPr>
          <w:vertAlign w:val="superscript"/>
        </w:rPr>
        <w:t>3</w:t>
      </w:r>
      <w:r>
        <w:t>，调洪库容4.4万m</w:t>
      </w:r>
      <w:r>
        <w:rPr>
          <w:vertAlign w:val="superscript"/>
        </w:rPr>
        <w:t>3</w:t>
      </w:r>
      <w:r>
        <w:t>。水库校核洪水位2114.81m，设计洪水位2114.25m，正常蓄水位2112.62m，死水位2095.4m，项目区域水系图见附图2。</w:t>
      </w:r>
    </w:p>
    <w:p>
      <w:pPr>
        <w:pStyle w:val="4"/>
        <w:spacing w:line="360" w:lineRule="auto"/>
        <w:rPr>
          <w:rFonts w:cs="Times New Roman"/>
        </w:rPr>
      </w:pPr>
      <w:bookmarkStart w:id="74" w:name="_Toc14869"/>
      <w:r>
        <w:rPr>
          <w:rFonts w:cs="Times New Roman"/>
        </w:rPr>
        <w:t>2.2  社会经济状况</w:t>
      </w:r>
      <w:bookmarkEnd w:id="74"/>
    </w:p>
    <w:p>
      <w:pPr>
        <w:pStyle w:val="5"/>
        <w:spacing w:line="360" w:lineRule="auto"/>
        <w:rPr>
          <w:rFonts w:cs="Times New Roman"/>
        </w:rPr>
      </w:pPr>
      <w:bookmarkStart w:id="75" w:name="_Toc21283"/>
      <w:r>
        <w:rPr>
          <w:rFonts w:cs="Times New Roman"/>
        </w:rPr>
        <w:t>2.2.1  行政区划</w:t>
      </w:r>
      <w:bookmarkEnd w:id="75"/>
    </w:p>
    <w:p>
      <w:pPr>
        <w:ind w:firstLine="480"/>
      </w:pPr>
      <w:r>
        <w:t>桂花水库位于曲靖市富源县后所镇庆云村委会厦卡村上游约500m处，</w:t>
      </w:r>
      <w:r>
        <w:rPr>
          <w:rFonts w:hint="eastAsia"/>
          <w:szCs w:val="24"/>
        </w:rPr>
        <w:t>桂花水库整个流域全部位于</w:t>
      </w:r>
      <w:r>
        <w:t>庆云村委会</w:t>
      </w:r>
      <w:r>
        <w:rPr>
          <w:rFonts w:hint="eastAsia"/>
        </w:rPr>
        <w:t>内。</w:t>
      </w:r>
    </w:p>
    <w:p>
      <w:pPr>
        <w:pStyle w:val="5"/>
        <w:spacing w:line="360" w:lineRule="auto"/>
        <w:rPr>
          <w:rFonts w:cs="Times New Roman"/>
        </w:rPr>
      </w:pPr>
      <w:bookmarkStart w:id="76" w:name="_Toc11877"/>
      <w:r>
        <w:rPr>
          <w:rFonts w:cs="Times New Roman"/>
        </w:rPr>
        <w:t>2.2.2  人口状况</w:t>
      </w:r>
      <w:bookmarkEnd w:id="76"/>
    </w:p>
    <w:p>
      <w:pPr>
        <w:ind w:firstLine="480"/>
      </w:pPr>
      <w:r>
        <w:rPr>
          <w:rFonts w:hint="eastAsia"/>
        </w:rPr>
        <w:t>后所</w:t>
      </w:r>
      <w:r>
        <w:t>镇辖13个村委会，93个村民小组，187个自然村，69507人</w:t>
      </w:r>
      <w:r>
        <w:rPr>
          <w:rFonts w:hint="eastAsia"/>
        </w:rPr>
        <w:t>。庆云村辖1</w:t>
      </w:r>
      <w:r>
        <w:t>0</w:t>
      </w:r>
      <w:r>
        <w:rPr>
          <w:rFonts w:hint="eastAsia"/>
        </w:rPr>
        <w:t>个村民小组，有农户1</w:t>
      </w:r>
      <w:r>
        <w:t>998</w:t>
      </w:r>
      <w:r>
        <w:rPr>
          <w:rFonts w:hint="eastAsia"/>
        </w:rPr>
        <w:t>户，乡村人口6</w:t>
      </w:r>
      <w:r>
        <w:t>826</w:t>
      </w:r>
      <w:r>
        <w:rPr>
          <w:rFonts w:hint="eastAsia"/>
        </w:rPr>
        <w:t>人。小冲村辖7个村民小组，有农户1</w:t>
      </w:r>
      <w:r>
        <w:t>739</w:t>
      </w:r>
      <w:r>
        <w:rPr>
          <w:rFonts w:hint="eastAsia"/>
        </w:rPr>
        <w:t>户，乡村人口6</w:t>
      </w:r>
      <w:r>
        <w:t>308</w:t>
      </w:r>
      <w:r>
        <w:rPr>
          <w:rFonts w:hint="eastAsia"/>
        </w:rPr>
        <w:t>人。</w:t>
      </w:r>
    </w:p>
    <w:p>
      <w:pPr>
        <w:pStyle w:val="5"/>
        <w:spacing w:line="360" w:lineRule="auto"/>
        <w:rPr>
          <w:rFonts w:cs="Times New Roman"/>
        </w:rPr>
      </w:pPr>
      <w:bookmarkStart w:id="77" w:name="_Toc8142"/>
      <w:r>
        <w:rPr>
          <w:rFonts w:cs="Times New Roman"/>
        </w:rPr>
        <w:t>2.2.3  经济发展状况</w:t>
      </w:r>
      <w:bookmarkEnd w:id="77"/>
    </w:p>
    <w:p>
      <w:pPr>
        <w:ind w:firstLine="480"/>
      </w:pPr>
      <w:r>
        <w:rPr>
          <w:rFonts w:hint="eastAsia"/>
        </w:rPr>
        <w:t>全年实现农村经济总收入11.5亿元、增长2%；完成固定资产投资8亿元，工业总产值11.34亿元，增长14.7%；实现地方公共财政预算收入7463万元，增长34.18%，地方公共财政预算支出2826.25万元。</w:t>
      </w:r>
    </w:p>
    <w:p>
      <w:pPr>
        <w:ind w:firstLine="480"/>
      </w:pPr>
      <w:r>
        <w:rPr>
          <w:rFonts w:hint="eastAsia"/>
        </w:rPr>
        <w:t>2019年，预计地方公共财政预算收入增长6.4%，规模以上固定资产投资增长5%，规模以上工业增加值增长12.5%，社会消费品零售总额增长11%，农村居民人均可支配收入增长9%，城镇居民人均可支配收入增长8.5%，城镇登记失业率控制在4.2%以内，单位生产总值能耗完成县下达的目标任务。</w:t>
      </w:r>
    </w:p>
    <w:p>
      <w:pPr>
        <w:ind w:firstLine="482"/>
      </w:pPr>
      <w:r>
        <w:rPr>
          <w:b/>
          <w:bCs/>
        </w:rPr>
        <w:t>水电路设施更加完善。</w:t>
      </w:r>
      <w:r>
        <w:t>投入1985万元，硬化通村公路21.8公里、村内道路7.63万平方米，实施安全生命防护工程2.97公里，通行政村公路全面达标，通自然村公路硬化率97%。投入1077.21万元，实施安全饮水工程15件，惠及22个自然村4267户14393人。投入400万元，架设高压线路5.7公里、低压线路40公里，改善提升559户贫困户用电质量，保障易地搬迁项目和温氏养殖小区建设供电。实现广播电视、宽带网络100%全覆盖，义务教育入学率达100%，村级卫生室、村民小组活动场所全覆盖，行政村通过发展种养殖业、经营租赁等渠道创收，2018年村集体经济收入全部达到3万元以上，消除了集体经济空壳村。</w:t>
      </w:r>
    </w:p>
    <w:p>
      <w:pPr>
        <w:ind w:firstLine="482"/>
      </w:pPr>
      <w:r>
        <w:rPr>
          <w:b/>
          <w:bCs/>
        </w:rPr>
        <w:t>粮烟畜牧产业稳定发展。</w:t>
      </w:r>
      <w:r>
        <w:t>合理布局、科学规划、试验示范、科技引领、龙头企业主体带动，实现粮食丰收、畜牧增效，粮食产量5.05万吨、增长3.7%，出栏肉猪22.66万头、肉牛0.93万头、肉羊6.44万只、肉禽18万羽，肉类总产2.34万吨。种植烤烟2630亩，收购烟叶35.45万公斤，实现产值1000万元。</w:t>
      </w:r>
    </w:p>
    <w:p>
      <w:pPr>
        <w:ind w:firstLine="482"/>
      </w:pPr>
      <w:r>
        <w:rPr>
          <w:b/>
          <w:bCs/>
        </w:rPr>
        <w:t>高原特色农业发展势头良好。</w:t>
      </w:r>
      <w:r>
        <w:t>全年种植魔芋11000亩、辣椒5000亩、蔬菜7000亩、中药材6000亩、软籽石榴551亩、猕猴桃110亩、白萝卜1200亩、花椒1000亩、藜麦600亩，实现产值1.1亿元。</w:t>
      </w:r>
    </w:p>
    <w:p>
      <w:pPr>
        <w:ind w:firstLine="482"/>
      </w:pPr>
      <w:r>
        <w:rPr>
          <w:b/>
          <w:bCs/>
        </w:rPr>
        <w:t>工业转型升级深入推进。</w:t>
      </w:r>
      <w:r>
        <w:t>坚持以煤炭产业政策为准线，主动服务煤矿发展，平稳有序推进煤炭产业转型升级、整合重组和矿井技改扩能工作，7个煤矿正常生产，7个煤矿加快建设，全年生产原煤60.1万吨、洗精煤20.8万吨，实现产值5.9亿元。非煤矿山转型升级持续推进，达标保留1个、改造升级4个、整合重组1对、淘汰关闭4个，进一步提升了非煤工业经济发展质量。商贸物流、交通运输、餐饮服务、电商快递等行业持续发展。</w:t>
      </w:r>
    </w:p>
    <w:p>
      <w:pPr>
        <w:ind w:firstLine="482"/>
      </w:pPr>
      <w:r>
        <w:rPr>
          <w:b/>
          <w:bCs/>
        </w:rPr>
        <w:t>基础设施不断提升改善。</w:t>
      </w:r>
      <w:r>
        <w:t>完成47.6公里交通工程扫尾工作，实施公路大修项目3公里，维修迤拖公路11.9公里，全镇油路、水泥路达238.4公里。桂花水库全面竣工并试蓄水运行，嘉河下段治理已列入省发改委项目计划，摩帮水库前期工作有序推进，集镇、庆云、小冲片区19件安全饮水项目建成投入使用，全镇饮水安全得到巩固提升。大力推进农村电网升级改造，生产生活供电更加安全可靠。电子商务服务站、农村淘宝网点对经济发展的带动力不断增强，互联网不断延伸进村入户，手机通讯网络质量持续改善。努力构建支撑高质量跨越发展的产业体系。</w:t>
      </w:r>
    </w:p>
    <w:p>
      <w:pPr>
        <w:ind w:firstLine="482"/>
      </w:pPr>
      <w:r>
        <w:rPr>
          <w:b/>
          <w:bCs/>
        </w:rPr>
        <w:t>稳定发展传统农业。</w:t>
      </w:r>
      <w:r>
        <w:t>播种粮食11.1万亩，实现产量5.2万吨。种植烤烟2630亩，收购烟叶35.45万公斤，实现产值1000万元以上。不断壮大畜牧产业，出栏肉猪22.8万头、肉牛0.94万头、肉羊6.45万只、肉禽18万羽，肉类总产2.35万吨。保护企农生产、经营利益。2019年，重点巩固提升辣椒、白萝卜、猕猴桃、花椒、软籽石榴、魔芋、藜麦等7个产业，培育发展香叶天竺葵，确保14个温氏养殖小区建设投产。全年种植蔬菜20000亩、魔芋11000亩、辣椒4000亩、白萝卜1500亩、香叶天竺葵1000亩、藜麦2000亩、中药材12000亩，新建猕猴桃示范园100亩，巩固提升猕猴桃110亩、花椒1000亩、软籽石榴551亩。</w:t>
      </w:r>
    </w:p>
    <w:p>
      <w:pPr>
        <w:ind w:firstLine="482"/>
      </w:pPr>
      <w:r>
        <w:rPr>
          <w:b/>
          <w:bCs/>
        </w:rPr>
        <w:t>提升煤炭支柱产业。</w:t>
      </w:r>
      <w:r>
        <w:t>认真落实煤炭产业政策，稳步推进煤炭产业转型升级，全力支持煤矿依法办矿、安全生产、提能增效。积极推进非煤矿山转型升级，提升非煤工业发展质量。全年生产原煤、洗精煤70万吨，实现煤炭开采洗选产值6.1亿元，规模以上工业总产值12.56亿元。</w:t>
      </w:r>
    </w:p>
    <w:p>
      <w:pPr>
        <w:pStyle w:val="4"/>
        <w:spacing w:line="360" w:lineRule="auto"/>
        <w:rPr>
          <w:rFonts w:cs="Times New Roman"/>
          <w:color w:val="4472C4" w:themeColor="accent1"/>
          <w14:textFill>
            <w14:solidFill>
              <w14:schemeClr w14:val="accent1"/>
            </w14:solidFill>
          </w14:textFill>
        </w:rPr>
      </w:pPr>
      <w:bookmarkStart w:id="78" w:name="_Toc7862"/>
      <w:r>
        <w:rPr>
          <w:rFonts w:cs="Times New Roman"/>
        </w:rPr>
        <w:t>2.3  土地使用现状</w:t>
      </w:r>
      <w:bookmarkEnd w:id="78"/>
    </w:p>
    <w:p>
      <w:pPr>
        <w:ind w:firstLine="480"/>
      </w:pPr>
      <w:r>
        <w:t>按照《土地利用现状分类》（GB/T 21010-2017）标准进行土地利用现状的调查，在ArcGIS中利用谷歌地球影像作为底图，参考富源县自然资源和规划局提供的富源县土地利用总体规划图（图幅号为G48G053038），制作径流范围内土地利用现状图层，并制作土地利用现状图（见附图3），各类型土地利用面积统计见表2-1和图2-2。</w:t>
      </w:r>
    </w:p>
    <w:p>
      <w:pPr>
        <w:ind w:firstLine="480"/>
      </w:pPr>
      <w:r>
        <w:t>由表2-1和图2所示，在桂花水库径流范围内，乔木林地面积153.97 hm</w:t>
      </w:r>
      <w:r>
        <w:rPr>
          <w:vertAlign w:val="superscript"/>
        </w:rPr>
        <w:t>2</w:t>
      </w:r>
      <w:r>
        <w:t>，占径流面积的84.03%，为径流内的优势土地利用类型；其他草地面积18.58 hm</w:t>
      </w:r>
      <w:r>
        <w:rPr>
          <w:vertAlign w:val="superscript"/>
        </w:rPr>
        <w:t>2</w:t>
      </w:r>
      <w:r>
        <w:t>，占径流面积的10.27%；旱地面积2.80 hm</w:t>
      </w:r>
      <w:r>
        <w:rPr>
          <w:vertAlign w:val="superscript"/>
        </w:rPr>
        <w:t>2</w:t>
      </w:r>
      <w:r>
        <w:t>，占径流面积的1.55%；灌木林地面积1.87 hm</w:t>
      </w:r>
      <w:r>
        <w:rPr>
          <w:vertAlign w:val="superscript"/>
        </w:rPr>
        <w:t>2</w:t>
      </w:r>
      <w:r>
        <w:t>，占径流面积的1.03%；将输电电塔和浑水塘林场管理房划分为公用设施用地，公用设施用地面积0.28 hm</w:t>
      </w:r>
      <w:r>
        <w:rPr>
          <w:vertAlign w:val="superscript"/>
        </w:rPr>
        <w:t>2</w:t>
      </w:r>
      <w:r>
        <w:t>，占径流面积的0.15%；农村道路面积1.38 hm</w:t>
      </w:r>
      <w:r>
        <w:rPr>
          <w:vertAlign w:val="superscript"/>
        </w:rPr>
        <w:t>2</w:t>
      </w:r>
      <w:r>
        <w:t>，占径流面积的0.76%；湖泊水面面积0.30 hm</w:t>
      </w:r>
      <w:r>
        <w:rPr>
          <w:vertAlign w:val="superscript"/>
        </w:rPr>
        <w:t>2</w:t>
      </w:r>
      <w:r>
        <w:t>，占径流面积的0.17%；水库水面面积0.30 hm</w:t>
      </w:r>
      <w:r>
        <w:rPr>
          <w:vertAlign w:val="superscript"/>
        </w:rPr>
        <w:t>2</w:t>
      </w:r>
      <w:r>
        <w:t>，占径流面积的0.17%；水工建筑用地面积0.55 hm</w:t>
      </w:r>
      <w:r>
        <w:rPr>
          <w:vertAlign w:val="superscript"/>
        </w:rPr>
        <w:t>2</w:t>
      </w:r>
      <w:r>
        <w:t>，占径流面积的0.30%；将水库库区内还未蓄水的裸露坝底划分为裸土地，裸土地面积2.84 hm</w:t>
      </w:r>
      <w:r>
        <w:rPr>
          <w:vertAlign w:val="superscript"/>
        </w:rPr>
        <w:t>2</w:t>
      </w:r>
      <w:r>
        <w:t>，占径流面积的1.57%。</w:t>
      </w:r>
    </w:p>
    <w:p>
      <w:pPr>
        <w:ind w:firstLine="0" w:firstLineChars="0"/>
        <w:jc w:val="center"/>
        <w:rPr>
          <w:rFonts w:cs="Times New Roman"/>
          <w:b/>
          <w:bCs/>
          <w:sz w:val="21"/>
          <w:szCs w:val="20"/>
        </w:rPr>
      </w:pPr>
      <w:r>
        <w:rPr>
          <w:rFonts w:cs="Times New Roman"/>
          <w:b/>
          <w:bCs/>
          <w:sz w:val="21"/>
          <w:szCs w:val="20"/>
        </w:rPr>
        <w:t>表2-1  土地利用现状面积统计表</w:t>
      </w:r>
    </w:p>
    <w:p>
      <w:pPr>
        <w:ind w:firstLine="420"/>
        <w:jc w:val="right"/>
        <w:rPr>
          <w:rFonts w:cs="Times New Roman"/>
          <w:sz w:val="21"/>
          <w:szCs w:val="20"/>
        </w:rPr>
      </w:pPr>
      <w:r>
        <w:rPr>
          <w:rFonts w:cs="Times New Roman"/>
          <w:sz w:val="21"/>
          <w:szCs w:val="20"/>
        </w:rPr>
        <w:t>单位：hm</w:t>
      </w:r>
      <w:r>
        <w:rPr>
          <w:rFonts w:cs="Times New Roman"/>
          <w:sz w:val="21"/>
          <w:szCs w:val="20"/>
          <w:vertAlign w:val="superscript"/>
        </w:rPr>
        <w:t>2</w:t>
      </w:r>
    </w:p>
    <w:tbl>
      <w:tblPr>
        <w:tblStyle w:val="24"/>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3"/>
        <w:gridCol w:w="1594"/>
        <w:gridCol w:w="1593"/>
        <w:gridCol w:w="1594"/>
        <w:gridCol w:w="992"/>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87" w:type="dxa"/>
            <w:gridSpan w:val="2"/>
            <w:vAlign w:val="center"/>
          </w:tcPr>
          <w:p>
            <w:pPr>
              <w:pStyle w:val="33"/>
            </w:pPr>
            <w:r>
              <w:t>一级类</w:t>
            </w:r>
          </w:p>
        </w:tc>
        <w:tc>
          <w:tcPr>
            <w:tcW w:w="3187" w:type="dxa"/>
            <w:gridSpan w:val="2"/>
            <w:vAlign w:val="center"/>
          </w:tcPr>
          <w:p>
            <w:pPr>
              <w:pStyle w:val="33"/>
            </w:pPr>
            <w:r>
              <w:t>二级类</w:t>
            </w:r>
          </w:p>
        </w:tc>
        <w:tc>
          <w:tcPr>
            <w:tcW w:w="992" w:type="dxa"/>
            <w:vMerge w:val="restart"/>
            <w:vAlign w:val="center"/>
          </w:tcPr>
          <w:p>
            <w:pPr>
              <w:pStyle w:val="33"/>
            </w:pPr>
            <w:r>
              <w:t>一级</w:t>
            </w:r>
          </w:p>
          <w:p>
            <w:pPr>
              <w:pStyle w:val="33"/>
            </w:pPr>
            <w:r>
              <w:t>类面积</w:t>
            </w:r>
          </w:p>
        </w:tc>
        <w:tc>
          <w:tcPr>
            <w:tcW w:w="930" w:type="dxa"/>
            <w:vMerge w:val="restart"/>
            <w:vAlign w:val="center"/>
          </w:tcPr>
          <w:p>
            <w:pPr>
              <w:pStyle w:val="33"/>
            </w:pPr>
            <w:r>
              <w:t>二级</w:t>
            </w:r>
          </w:p>
          <w:p>
            <w:pPr>
              <w:pStyle w:val="33"/>
            </w:pPr>
            <w:r>
              <w:t>类面积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3" w:type="dxa"/>
            <w:vAlign w:val="center"/>
          </w:tcPr>
          <w:p>
            <w:pPr>
              <w:pStyle w:val="33"/>
            </w:pPr>
            <w:r>
              <w:t>编码</w:t>
            </w:r>
          </w:p>
        </w:tc>
        <w:tc>
          <w:tcPr>
            <w:tcW w:w="1594" w:type="dxa"/>
            <w:vAlign w:val="center"/>
          </w:tcPr>
          <w:p>
            <w:pPr>
              <w:pStyle w:val="33"/>
            </w:pPr>
            <w:r>
              <w:t>名称</w:t>
            </w:r>
          </w:p>
        </w:tc>
        <w:tc>
          <w:tcPr>
            <w:tcW w:w="1593" w:type="dxa"/>
            <w:vAlign w:val="center"/>
          </w:tcPr>
          <w:p>
            <w:pPr>
              <w:pStyle w:val="33"/>
            </w:pPr>
            <w:r>
              <w:t>编码</w:t>
            </w:r>
          </w:p>
        </w:tc>
        <w:tc>
          <w:tcPr>
            <w:tcW w:w="1594" w:type="dxa"/>
            <w:vAlign w:val="center"/>
          </w:tcPr>
          <w:p>
            <w:pPr>
              <w:pStyle w:val="33"/>
            </w:pPr>
            <w:r>
              <w:t>名称</w:t>
            </w:r>
          </w:p>
        </w:tc>
        <w:tc>
          <w:tcPr>
            <w:tcW w:w="992" w:type="dxa"/>
            <w:vMerge w:val="continue"/>
            <w:vAlign w:val="center"/>
          </w:tcPr>
          <w:p>
            <w:pPr>
              <w:pStyle w:val="33"/>
            </w:pPr>
          </w:p>
        </w:tc>
        <w:tc>
          <w:tcPr>
            <w:tcW w:w="930" w:type="dxa"/>
            <w:vMerge w:val="continue"/>
            <w:vAlign w:val="center"/>
          </w:tcPr>
          <w:p>
            <w:pPr>
              <w:pStyle w:val="3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3" w:type="dxa"/>
            <w:vAlign w:val="center"/>
          </w:tcPr>
          <w:p>
            <w:pPr>
              <w:pStyle w:val="33"/>
            </w:pPr>
            <w:r>
              <w:t>01</w:t>
            </w:r>
          </w:p>
        </w:tc>
        <w:tc>
          <w:tcPr>
            <w:tcW w:w="1594" w:type="dxa"/>
            <w:vAlign w:val="center"/>
          </w:tcPr>
          <w:p>
            <w:pPr>
              <w:pStyle w:val="33"/>
            </w:pPr>
            <w:r>
              <w:t>耕地</w:t>
            </w:r>
          </w:p>
        </w:tc>
        <w:tc>
          <w:tcPr>
            <w:tcW w:w="1593" w:type="dxa"/>
            <w:vAlign w:val="center"/>
          </w:tcPr>
          <w:p>
            <w:pPr>
              <w:pStyle w:val="33"/>
            </w:pPr>
            <w:r>
              <w:t>0103</w:t>
            </w:r>
          </w:p>
        </w:tc>
        <w:tc>
          <w:tcPr>
            <w:tcW w:w="1594" w:type="dxa"/>
            <w:vAlign w:val="center"/>
          </w:tcPr>
          <w:p>
            <w:pPr>
              <w:pStyle w:val="33"/>
            </w:pPr>
            <w:r>
              <w:t>旱地</w:t>
            </w:r>
          </w:p>
        </w:tc>
        <w:tc>
          <w:tcPr>
            <w:tcW w:w="992" w:type="dxa"/>
            <w:vAlign w:val="center"/>
          </w:tcPr>
          <w:p>
            <w:pPr>
              <w:pStyle w:val="33"/>
            </w:pPr>
            <w:r>
              <w:t>2.80</w:t>
            </w:r>
          </w:p>
        </w:tc>
        <w:tc>
          <w:tcPr>
            <w:tcW w:w="930" w:type="dxa"/>
            <w:vAlign w:val="center"/>
          </w:tcPr>
          <w:p>
            <w:pPr>
              <w:pStyle w:val="33"/>
            </w:pPr>
            <w: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3" w:type="dxa"/>
            <w:vMerge w:val="restart"/>
            <w:vAlign w:val="center"/>
          </w:tcPr>
          <w:p>
            <w:pPr>
              <w:pStyle w:val="33"/>
            </w:pPr>
            <w:r>
              <w:t>03</w:t>
            </w:r>
          </w:p>
        </w:tc>
        <w:tc>
          <w:tcPr>
            <w:tcW w:w="1594" w:type="dxa"/>
            <w:vMerge w:val="restart"/>
            <w:vAlign w:val="center"/>
          </w:tcPr>
          <w:p>
            <w:pPr>
              <w:pStyle w:val="33"/>
            </w:pPr>
            <w:r>
              <w:t>林地</w:t>
            </w:r>
          </w:p>
        </w:tc>
        <w:tc>
          <w:tcPr>
            <w:tcW w:w="1593" w:type="dxa"/>
            <w:vAlign w:val="center"/>
          </w:tcPr>
          <w:p>
            <w:pPr>
              <w:pStyle w:val="33"/>
            </w:pPr>
            <w:r>
              <w:t>0301</w:t>
            </w:r>
          </w:p>
        </w:tc>
        <w:tc>
          <w:tcPr>
            <w:tcW w:w="1594" w:type="dxa"/>
            <w:vAlign w:val="center"/>
          </w:tcPr>
          <w:p>
            <w:pPr>
              <w:pStyle w:val="33"/>
            </w:pPr>
            <w:r>
              <w:t>乔木林地</w:t>
            </w:r>
          </w:p>
        </w:tc>
        <w:tc>
          <w:tcPr>
            <w:tcW w:w="992" w:type="dxa"/>
            <w:vMerge w:val="restart"/>
            <w:vAlign w:val="center"/>
          </w:tcPr>
          <w:p>
            <w:pPr>
              <w:pStyle w:val="33"/>
            </w:pPr>
            <w:r>
              <w:t>153.97</w:t>
            </w:r>
          </w:p>
        </w:tc>
        <w:tc>
          <w:tcPr>
            <w:tcW w:w="930" w:type="dxa"/>
            <w:vAlign w:val="center"/>
          </w:tcPr>
          <w:p>
            <w:pPr>
              <w:pStyle w:val="33"/>
            </w:pPr>
            <w:r>
              <w:t>152.10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3" w:type="dxa"/>
            <w:vMerge w:val="continue"/>
            <w:vAlign w:val="center"/>
          </w:tcPr>
          <w:p>
            <w:pPr>
              <w:pStyle w:val="33"/>
            </w:pPr>
          </w:p>
        </w:tc>
        <w:tc>
          <w:tcPr>
            <w:tcW w:w="1594" w:type="dxa"/>
            <w:vMerge w:val="continue"/>
            <w:vAlign w:val="center"/>
          </w:tcPr>
          <w:p>
            <w:pPr>
              <w:pStyle w:val="33"/>
            </w:pPr>
          </w:p>
        </w:tc>
        <w:tc>
          <w:tcPr>
            <w:tcW w:w="1593" w:type="dxa"/>
            <w:vAlign w:val="center"/>
          </w:tcPr>
          <w:p>
            <w:pPr>
              <w:pStyle w:val="33"/>
            </w:pPr>
            <w:r>
              <w:t>0305</w:t>
            </w:r>
          </w:p>
        </w:tc>
        <w:tc>
          <w:tcPr>
            <w:tcW w:w="1594" w:type="dxa"/>
            <w:vAlign w:val="center"/>
          </w:tcPr>
          <w:p>
            <w:pPr>
              <w:pStyle w:val="33"/>
            </w:pPr>
            <w:r>
              <w:t>灌木林地</w:t>
            </w:r>
          </w:p>
        </w:tc>
        <w:tc>
          <w:tcPr>
            <w:tcW w:w="992" w:type="dxa"/>
            <w:vMerge w:val="continue"/>
            <w:vAlign w:val="center"/>
          </w:tcPr>
          <w:p>
            <w:pPr>
              <w:pStyle w:val="33"/>
            </w:pPr>
          </w:p>
        </w:tc>
        <w:tc>
          <w:tcPr>
            <w:tcW w:w="930" w:type="dxa"/>
            <w:vAlign w:val="center"/>
          </w:tcPr>
          <w:p>
            <w:pPr>
              <w:pStyle w:val="33"/>
            </w:pPr>
            <w:r>
              <w:t>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3" w:type="dxa"/>
            <w:vAlign w:val="center"/>
          </w:tcPr>
          <w:p>
            <w:pPr>
              <w:pStyle w:val="33"/>
            </w:pPr>
            <w:r>
              <w:t>04</w:t>
            </w:r>
          </w:p>
        </w:tc>
        <w:tc>
          <w:tcPr>
            <w:tcW w:w="1594" w:type="dxa"/>
            <w:vAlign w:val="center"/>
          </w:tcPr>
          <w:p>
            <w:pPr>
              <w:pStyle w:val="33"/>
            </w:pPr>
            <w:r>
              <w:t>草地</w:t>
            </w:r>
          </w:p>
        </w:tc>
        <w:tc>
          <w:tcPr>
            <w:tcW w:w="1593" w:type="dxa"/>
            <w:vAlign w:val="center"/>
          </w:tcPr>
          <w:p>
            <w:pPr>
              <w:pStyle w:val="33"/>
            </w:pPr>
            <w:r>
              <w:t>0404</w:t>
            </w:r>
          </w:p>
        </w:tc>
        <w:tc>
          <w:tcPr>
            <w:tcW w:w="1594" w:type="dxa"/>
            <w:vAlign w:val="center"/>
          </w:tcPr>
          <w:p>
            <w:pPr>
              <w:pStyle w:val="33"/>
            </w:pPr>
            <w:r>
              <w:t>其他草地</w:t>
            </w:r>
          </w:p>
        </w:tc>
        <w:tc>
          <w:tcPr>
            <w:tcW w:w="992" w:type="dxa"/>
            <w:vAlign w:val="center"/>
          </w:tcPr>
          <w:p>
            <w:pPr>
              <w:pStyle w:val="33"/>
            </w:pPr>
            <w:r>
              <w:t>18.58</w:t>
            </w:r>
          </w:p>
        </w:tc>
        <w:tc>
          <w:tcPr>
            <w:tcW w:w="930" w:type="dxa"/>
            <w:vAlign w:val="center"/>
          </w:tcPr>
          <w:p>
            <w:pPr>
              <w:pStyle w:val="33"/>
            </w:pPr>
            <w:r>
              <w:t>18.58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3" w:type="dxa"/>
            <w:vAlign w:val="center"/>
          </w:tcPr>
          <w:p>
            <w:pPr>
              <w:pStyle w:val="33"/>
            </w:pPr>
            <w:r>
              <w:t>08</w:t>
            </w:r>
          </w:p>
        </w:tc>
        <w:tc>
          <w:tcPr>
            <w:tcW w:w="1594" w:type="dxa"/>
            <w:vAlign w:val="center"/>
          </w:tcPr>
          <w:p>
            <w:pPr>
              <w:pStyle w:val="33"/>
            </w:pPr>
            <w:r>
              <w:t>公共管理与公共服务用地</w:t>
            </w:r>
          </w:p>
        </w:tc>
        <w:tc>
          <w:tcPr>
            <w:tcW w:w="1593" w:type="dxa"/>
            <w:vAlign w:val="center"/>
          </w:tcPr>
          <w:p>
            <w:pPr>
              <w:pStyle w:val="33"/>
            </w:pPr>
            <w:r>
              <w:t>0809</w:t>
            </w:r>
          </w:p>
        </w:tc>
        <w:tc>
          <w:tcPr>
            <w:tcW w:w="1594" w:type="dxa"/>
            <w:vAlign w:val="center"/>
          </w:tcPr>
          <w:p>
            <w:pPr>
              <w:pStyle w:val="33"/>
            </w:pPr>
            <w:r>
              <w:t>公用设施用地</w:t>
            </w:r>
          </w:p>
        </w:tc>
        <w:tc>
          <w:tcPr>
            <w:tcW w:w="992" w:type="dxa"/>
            <w:vAlign w:val="center"/>
          </w:tcPr>
          <w:p>
            <w:pPr>
              <w:pStyle w:val="33"/>
            </w:pPr>
            <w:r>
              <w:t>0.28</w:t>
            </w:r>
          </w:p>
        </w:tc>
        <w:tc>
          <w:tcPr>
            <w:tcW w:w="930" w:type="dxa"/>
            <w:vAlign w:val="center"/>
          </w:tcPr>
          <w:p>
            <w:pPr>
              <w:pStyle w:val="33"/>
            </w:pPr>
            <w:r>
              <w:t>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3" w:type="dxa"/>
            <w:vAlign w:val="center"/>
          </w:tcPr>
          <w:p>
            <w:pPr>
              <w:pStyle w:val="33"/>
            </w:pPr>
            <w:r>
              <w:t>10</w:t>
            </w:r>
          </w:p>
        </w:tc>
        <w:tc>
          <w:tcPr>
            <w:tcW w:w="1594" w:type="dxa"/>
            <w:vAlign w:val="center"/>
          </w:tcPr>
          <w:p>
            <w:pPr>
              <w:pStyle w:val="33"/>
            </w:pPr>
            <w:r>
              <w:t>交通运输用地</w:t>
            </w:r>
          </w:p>
        </w:tc>
        <w:tc>
          <w:tcPr>
            <w:tcW w:w="1593" w:type="dxa"/>
            <w:vAlign w:val="center"/>
          </w:tcPr>
          <w:p>
            <w:pPr>
              <w:pStyle w:val="33"/>
            </w:pPr>
            <w:r>
              <w:t>1006</w:t>
            </w:r>
          </w:p>
        </w:tc>
        <w:tc>
          <w:tcPr>
            <w:tcW w:w="1594" w:type="dxa"/>
            <w:vAlign w:val="center"/>
          </w:tcPr>
          <w:p>
            <w:pPr>
              <w:pStyle w:val="33"/>
            </w:pPr>
            <w:r>
              <w:t>农村道路</w:t>
            </w:r>
          </w:p>
        </w:tc>
        <w:tc>
          <w:tcPr>
            <w:tcW w:w="992" w:type="dxa"/>
            <w:vAlign w:val="center"/>
          </w:tcPr>
          <w:p>
            <w:pPr>
              <w:pStyle w:val="33"/>
            </w:pPr>
            <w:r>
              <w:t>1.38</w:t>
            </w:r>
          </w:p>
        </w:tc>
        <w:tc>
          <w:tcPr>
            <w:tcW w:w="930" w:type="dxa"/>
            <w:vAlign w:val="center"/>
          </w:tcPr>
          <w:p>
            <w:pPr>
              <w:pStyle w:val="33"/>
            </w:pPr>
            <w:r>
              <w:t>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3" w:type="dxa"/>
            <w:vMerge w:val="restart"/>
            <w:vAlign w:val="center"/>
          </w:tcPr>
          <w:p>
            <w:pPr>
              <w:pStyle w:val="33"/>
            </w:pPr>
            <w:r>
              <w:t>11</w:t>
            </w:r>
          </w:p>
        </w:tc>
        <w:tc>
          <w:tcPr>
            <w:tcW w:w="1594" w:type="dxa"/>
            <w:vMerge w:val="restart"/>
            <w:vAlign w:val="center"/>
          </w:tcPr>
          <w:p>
            <w:pPr>
              <w:pStyle w:val="33"/>
            </w:pPr>
            <w:r>
              <w:t>水域及水利设施用地</w:t>
            </w:r>
          </w:p>
        </w:tc>
        <w:tc>
          <w:tcPr>
            <w:tcW w:w="1593" w:type="dxa"/>
            <w:vAlign w:val="center"/>
          </w:tcPr>
          <w:p>
            <w:pPr>
              <w:pStyle w:val="33"/>
            </w:pPr>
            <w:r>
              <w:t>1102</w:t>
            </w:r>
          </w:p>
        </w:tc>
        <w:tc>
          <w:tcPr>
            <w:tcW w:w="1594" w:type="dxa"/>
            <w:vAlign w:val="center"/>
          </w:tcPr>
          <w:p>
            <w:pPr>
              <w:pStyle w:val="33"/>
            </w:pPr>
            <w:r>
              <w:t>湖泊水面</w:t>
            </w:r>
          </w:p>
        </w:tc>
        <w:tc>
          <w:tcPr>
            <w:tcW w:w="992" w:type="dxa"/>
            <w:vMerge w:val="restart"/>
            <w:vAlign w:val="center"/>
          </w:tcPr>
          <w:p>
            <w:pPr>
              <w:pStyle w:val="33"/>
            </w:pPr>
            <w:r>
              <w:t>1.15</w:t>
            </w:r>
          </w:p>
        </w:tc>
        <w:tc>
          <w:tcPr>
            <w:tcW w:w="930" w:type="dxa"/>
            <w:vAlign w:val="center"/>
          </w:tcPr>
          <w:p>
            <w:pPr>
              <w:pStyle w:val="33"/>
            </w:pPr>
            <w: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3" w:type="dxa"/>
            <w:vMerge w:val="continue"/>
            <w:vAlign w:val="center"/>
          </w:tcPr>
          <w:p>
            <w:pPr>
              <w:pStyle w:val="33"/>
            </w:pPr>
          </w:p>
        </w:tc>
        <w:tc>
          <w:tcPr>
            <w:tcW w:w="1594" w:type="dxa"/>
            <w:vMerge w:val="continue"/>
            <w:vAlign w:val="center"/>
          </w:tcPr>
          <w:p>
            <w:pPr>
              <w:pStyle w:val="33"/>
            </w:pPr>
          </w:p>
        </w:tc>
        <w:tc>
          <w:tcPr>
            <w:tcW w:w="1593" w:type="dxa"/>
            <w:vAlign w:val="center"/>
          </w:tcPr>
          <w:p>
            <w:pPr>
              <w:pStyle w:val="33"/>
            </w:pPr>
            <w:r>
              <w:t>1103</w:t>
            </w:r>
          </w:p>
        </w:tc>
        <w:tc>
          <w:tcPr>
            <w:tcW w:w="1594" w:type="dxa"/>
            <w:vAlign w:val="center"/>
          </w:tcPr>
          <w:p>
            <w:pPr>
              <w:pStyle w:val="33"/>
            </w:pPr>
            <w:r>
              <w:t>水库水面</w:t>
            </w:r>
          </w:p>
        </w:tc>
        <w:tc>
          <w:tcPr>
            <w:tcW w:w="992" w:type="dxa"/>
            <w:vMerge w:val="continue"/>
            <w:vAlign w:val="center"/>
          </w:tcPr>
          <w:p>
            <w:pPr>
              <w:pStyle w:val="33"/>
            </w:pPr>
          </w:p>
        </w:tc>
        <w:tc>
          <w:tcPr>
            <w:tcW w:w="930" w:type="dxa"/>
            <w:vAlign w:val="center"/>
          </w:tcPr>
          <w:p>
            <w:pPr>
              <w:pStyle w:val="33"/>
            </w:pPr>
            <w: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3" w:type="dxa"/>
            <w:vMerge w:val="continue"/>
            <w:vAlign w:val="center"/>
          </w:tcPr>
          <w:p>
            <w:pPr>
              <w:pStyle w:val="33"/>
            </w:pPr>
          </w:p>
        </w:tc>
        <w:tc>
          <w:tcPr>
            <w:tcW w:w="1594" w:type="dxa"/>
            <w:vMerge w:val="continue"/>
            <w:vAlign w:val="center"/>
          </w:tcPr>
          <w:p>
            <w:pPr>
              <w:pStyle w:val="33"/>
            </w:pPr>
          </w:p>
        </w:tc>
        <w:tc>
          <w:tcPr>
            <w:tcW w:w="1593" w:type="dxa"/>
            <w:vAlign w:val="center"/>
          </w:tcPr>
          <w:p>
            <w:pPr>
              <w:pStyle w:val="33"/>
            </w:pPr>
            <w:r>
              <w:t>1109</w:t>
            </w:r>
          </w:p>
        </w:tc>
        <w:tc>
          <w:tcPr>
            <w:tcW w:w="1594" w:type="dxa"/>
            <w:vAlign w:val="center"/>
          </w:tcPr>
          <w:p>
            <w:pPr>
              <w:pStyle w:val="33"/>
            </w:pPr>
            <w:r>
              <w:t>水工建筑用地</w:t>
            </w:r>
          </w:p>
        </w:tc>
        <w:tc>
          <w:tcPr>
            <w:tcW w:w="992" w:type="dxa"/>
            <w:vMerge w:val="continue"/>
            <w:vAlign w:val="center"/>
          </w:tcPr>
          <w:p>
            <w:pPr>
              <w:pStyle w:val="33"/>
            </w:pPr>
          </w:p>
        </w:tc>
        <w:tc>
          <w:tcPr>
            <w:tcW w:w="930" w:type="dxa"/>
            <w:vAlign w:val="center"/>
          </w:tcPr>
          <w:p>
            <w:pPr>
              <w:pStyle w:val="33"/>
            </w:pPr>
            <w: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3" w:type="dxa"/>
            <w:vAlign w:val="center"/>
          </w:tcPr>
          <w:p>
            <w:pPr>
              <w:pStyle w:val="33"/>
            </w:pPr>
            <w:r>
              <w:t>12</w:t>
            </w:r>
          </w:p>
        </w:tc>
        <w:tc>
          <w:tcPr>
            <w:tcW w:w="1594" w:type="dxa"/>
            <w:vAlign w:val="center"/>
          </w:tcPr>
          <w:p>
            <w:pPr>
              <w:pStyle w:val="33"/>
            </w:pPr>
            <w:r>
              <w:t>其他土地</w:t>
            </w:r>
          </w:p>
        </w:tc>
        <w:tc>
          <w:tcPr>
            <w:tcW w:w="1593" w:type="dxa"/>
            <w:vAlign w:val="center"/>
          </w:tcPr>
          <w:p>
            <w:pPr>
              <w:pStyle w:val="33"/>
            </w:pPr>
            <w:r>
              <w:t>1206</w:t>
            </w:r>
          </w:p>
        </w:tc>
        <w:tc>
          <w:tcPr>
            <w:tcW w:w="1594" w:type="dxa"/>
            <w:vAlign w:val="center"/>
          </w:tcPr>
          <w:p>
            <w:pPr>
              <w:pStyle w:val="33"/>
            </w:pPr>
            <w:r>
              <w:t>裸土地</w:t>
            </w:r>
          </w:p>
        </w:tc>
        <w:tc>
          <w:tcPr>
            <w:tcW w:w="992" w:type="dxa"/>
            <w:vAlign w:val="center"/>
          </w:tcPr>
          <w:p>
            <w:pPr>
              <w:pStyle w:val="33"/>
            </w:pPr>
            <w:r>
              <w:t>2.84</w:t>
            </w:r>
          </w:p>
        </w:tc>
        <w:tc>
          <w:tcPr>
            <w:tcW w:w="930" w:type="dxa"/>
            <w:vAlign w:val="center"/>
          </w:tcPr>
          <w:p>
            <w:pPr>
              <w:pStyle w:val="33"/>
            </w:pPr>
            <w:r>
              <w:t>2.84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4" w:type="dxa"/>
            <w:gridSpan w:val="4"/>
            <w:vAlign w:val="center"/>
          </w:tcPr>
          <w:p>
            <w:pPr>
              <w:pStyle w:val="33"/>
            </w:pPr>
            <w:r>
              <w:t>合计</w:t>
            </w:r>
          </w:p>
        </w:tc>
        <w:tc>
          <w:tcPr>
            <w:tcW w:w="1922" w:type="dxa"/>
            <w:gridSpan w:val="2"/>
            <w:vAlign w:val="center"/>
          </w:tcPr>
          <w:p>
            <w:pPr>
              <w:pStyle w:val="33"/>
            </w:pPr>
            <w:r>
              <w:t>181.00</w:t>
            </w:r>
          </w:p>
        </w:tc>
      </w:tr>
    </w:tbl>
    <w:p>
      <w:pPr>
        <w:ind w:firstLine="0" w:firstLineChars="0"/>
        <w:rPr>
          <w:rFonts w:cs="Times New Roman"/>
        </w:rPr>
      </w:pPr>
    </w:p>
    <w:p>
      <w:pPr>
        <w:ind w:firstLine="0" w:firstLineChars="0"/>
        <w:rPr>
          <w:rFonts w:cs="Times New Roman"/>
        </w:rPr>
      </w:pPr>
      <w:r>
        <w:rPr>
          <w:rFonts w:cs="Times New Roman"/>
        </w:rPr>
        <w:drawing>
          <wp:inline distT="0" distB="0" distL="0" distR="0">
            <wp:extent cx="5274310" cy="3076575"/>
            <wp:effectExtent l="5080" t="4445" r="16510" b="508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ind w:firstLine="0" w:firstLineChars="0"/>
        <w:jc w:val="center"/>
        <w:rPr>
          <w:rFonts w:cs="Times New Roman"/>
        </w:rPr>
      </w:pPr>
      <w:r>
        <w:rPr>
          <w:rFonts w:cs="Times New Roman"/>
          <w:b/>
          <w:bCs/>
          <w:sz w:val="21"/>
          <w:szCs w:val="20"/>
        </w:rPr>
        <w:t>图2  二级类土地利用在径流中占比图</w:t>
      </w:r>
      <w:r>
        <w:rPr>
          <w:rFonts w:cs="Times New Roman"/>
          <w:color w:val="FF0000"/>
          <w:szCs w:val="24"/>
        </w:rPr>
        <w:t xml:space="preserve"> </w:t>
      </w:r>
    </w:p>
    <w:p>
      <w:pPr>
        <w:ind w:firstLine="0" w:firstLineChars="0"/>
        <w:rPr>
          <w:rFonts w:cs="Times New Roman"/>
        </w:rPr>
      </w:pPr>
    </w:p>
    <w:p>
      <w:pPr>
        <w:pStyle w:val="4"/>
        <w:spacing w:line="360" w:lineRule="auto"/>
        <w:rPr>
          <w:rFonts w:cs="Times New Roman"/>
        </w:rPr>
      </w:pPr>
      <w:bookmarkStart w:id="79" w:name="_Toc21128"/>
      <w:r>
        <w:rPr>
          <w:rFonts w:cs="Times New Roman"/>
        </w:rPr>
        <w:t>2.4  规划现状</w:t>
      </w:r>
      <w:bookmarkEnd w:id="79"/>
    </w:p>
    <w:p>
      <w:pPr>
        <w:widowControl/>
        <w:adjustRightInd w:val="0"/>
        <w:snapToGrid w:val="0"/>
        <w:ind w:left="480" w:leftChars="200" w:firstLine="480"/>
        <w:rPr>
          <w:rFonts w:cs="Times New Roman"/>
          <w:szCs w:val="24"/>
        </w:rPr>
      </w:pPr>
      <w:r>
        <w:rPr>
          <w:rFonts w:cs="Times New Roman"/>
          <w:szCs w:val="24"/>
        </w:rPr>
        <w:t>根据</w:t>
      </w:r>
      <w:r>
        <w:rPr>
          <w:rFonts w:cs="Times New Roman"/>
          <w:color w:val="000000"/>
          <w:szCs w:val="24"/>
          <w:shd w:val="clear" w:color="auto" w:fill="FFFFFF"/>
        </w:rPr>
        <w:t>《</w:t>
      </w:r>
      <w:r>
        <w:rPr>
          <w:rFonts w:cs="Times New Roman"/>
          <w:szCs w:val="24"/>
        </w:rPr>
        <w:t>云南省地表水水环境功能区划</w:t>
      </w:r>
      <w:r>
        <w:rPr>
          <w:rFonts w:cs="Times New Roman"/>
          <w:color w:val="000000"/>
          <w:szCs w:val="24"/>
          <w:shd w:val="clear" w:color="auto" w:fill="FFFFFF"/>
        </w:rPr>
        <w:t>》(2010—2020年)，</w:t>
      </w:r>
      <w:r>
        <w:rPr>
          <w:rFonts w:cs="Times New Roman"/>
          <w:szCs w:val="24"/>
        </w:rPr>
        <w:t>桂花水库属于工业用水、农业用水、饮用二级，Ⅲ类水体，不属于自然保护区和市饮用水源保护区内，桂花水库于2014年列入（2014-2016年）中央抗旱水源工程。</w:t>
      </w:r>
    </w:p>
    <w:p>
      <w:pPr>
        <w:widowControl/>
        <w:adjustRightInd w:val="0"/>
        <w:snapToGrid w:val="0"/>
        <w:ind w:left="480" w:leftChars="200" w:firstLine="480"/>
        <w:rPr>
          <w:rFonts w:cs="Times New Roman"/>
          <w:szCs w:val="24"/>
        </w:rPr>
      </w:pPr>
      <w:r>
        <w:rPr>
          <w:rFonts w:cs="Times New Roman"/>
          <w:szCs w:val="24"/>
        </w:rPr>
        <w:t>根据富源县</w:t>
      </w:r>
      <w:bookmarkStart w:id="80" w:name="_Hlk23066103"/>
      <w:r>
        <w:rPr>
          <w:rFonts w:cs="Times New Roman"/>
          <w:szCs w:val="24"/>
        </w:rPr>
        <w:t>自然资源局</w:t>
      </w:r>
      <w:bookmarkEnd w:id="80"/>
      <w:r>
        <w:rPr>
          <w:rFonts w:cs="Times New Roman"/>
          <w:szCs w:val="24"/>
        </w:rPr>
        <w:t>提供的资料，</w:t>
      </w:r>
      <w:r>
        <w:rPr>
          <w:rFonts w:hint="eastAsia" w:cs="Times New Roman"/>
          <w:szCs w:val="24"/>
        </w:rPr>
        <w:t>桂花水库流域范围</w:t>
      </w:r>
      <w:r>
        <w:rPr>
          <w:rFonts w:cs="Times New Roman"/>
          <w:szCs w:val="24"/>
        </w:rPr>
        <w:t>与云南省富源县后所镇龙泉煤矿</w:t>
      </w:r>
      <w:r>
        <w:rPr>
          <w:rFonts w:hint="eastAsia" w:cs="Times New Roman"/>
          <w:szCs w:val="24"/>
        </w:rPr>
        <w:t>矿界</w:t>
      </w:r>
      <w:r>
        <w:rPr>
          <w:rFonts w:cs="Times New Roman"/>
          <w:szCs w:val="24"/>
        </w:rPr>
        <w:t>勘查项目存在重叠，重叠面积：495957.45</w:t>
      </w:r>
      <w:r>
        <w:t xml:space="preserve"> m</w:t>
      </w:r>
      <w:r>
        <w:rPr>
          <w:vertAlign w:val="superscript"/>
        </w:rPr>
        <w:t>2</w:t>
      </w:r>
      <w:r>
        <w:rPr>
          <w:rFonts w:cs="Times New Roman"/>
          <w:szCs w:val="24"/>
        </w:rPr>
        <w:t>。</w:t>
      </w:r>
    </w:p>
    <w:p>
      <w:pPr>
        <w:widowControl/>
        <w:adjustRightInd w:val="0"/>
        <w:snapToGrid w:val="0"/>
        <w:ind w:left="480" w:leftChars="200" w:firstLine="480"/>
        <w:rPr>
          <w:rFonts w:cs="Times New Roman"/>
        </w:rPr>
      </w:pPr>
    </w:p>
    <w:p>
      <w:pPr>
        <w:pStyle w:val="2"/>
        <w:ind w:firstLine="420"/>
        <w:rPr>
          <w:rFonts w:hint="default" w:ascii="Times New Roman" w:hAnsi="Times New Roman" w:cs="Times New Roman"/>
        </w:rPr>
      </w:pPr>
    </w:p>
    <w:p>
      <w:pPr>
        <w:pStyle w:val="3"/>
        <w:rPr>
          <w:rFonts w:cs="Times New Roman"/>
        </w:rPr>
      </w:pPr>
      <w:bookmarkStart w:id="81" w:name="_Toc26529"/>
      <w:bookmarkStart w:id="82" w:name="_Toc9530_WPSOffice_Level1"/>
      <w:bookmarkStart w:id="83" w:name="_Toc2042_WPSOffice_Level1"/>
      <w:r>
        <w:rPr>
          <w:rFonts w:cs="Times New Roman"/>
        </w:rPr>
        <w:t>第三章  水源地基础环境质量</w:t>
      </w:r>
      <w:bookmarkEnd w:id="81"/>
      <w:bookmarkEnd w:id="82"/>
      <w:bookmarkEnd w:id="83"/>
    </w:p>
    <w:p>
      <w:pPr>
        <w:pStyle w:val="4"/>
        <w:spacing w:line="360" w:lineRule="auto"/>
        <w:rPr>
          <w:rFonts w:cs="Times New Roman"/>
        </w:rPr>
      </w:pPr>
      <w:bookmarkStart w:id="84" w:name="_Toc4120"/>
      <w:r>
        <w:rPr>
          <w:rFonts w:cs="Times New Roman"/>
        </w:rPr>
        <w:t>3.1  饮用水源地现状</w:t>
      </w:r>
      <w:bookmarkEnd w:id="84"/>
    </w:p>
    <w:p>
      <w:pPr>
        <w:ind w:firstLine="480"/>
        <w:rPr>
          <w:rFonts w:cs="Times New Roman"/>
          <w:szCs w:val="24"/>
        </w:rPr>
      </w:pPr>
      <w:r>
        <w:rPr>
          <w:rFonts w:cs="Times New Roman"/>
          <w:szCs w:val="24"/>
        </w:rPr>
        <w:t>2019年9月</w:t>
      </w:r>
      <w:r>
        <w:rPr>
          <w:rFonts w:hint="eastAsia" w:cs="Times New Roman"/>
          <w:szCs w:val="24"/>
        </w:rPr>
        <w:t>17日与9月24日</w:t>
      </w:r>
      <w:r>
        <w:rPr>
          <w:rFonts w:cs="Times New Roman"/>
          <w:szCs w:val="24"/>
        </w:rPr>
        <w:t>，中陌科技（云南）有限公司对桂花水库水质进行检测，检测结果见表3-1。</w:t>
      </w:r>
    </w:p>
    <w:p>
      <w:pPr>
        <w:pStyle w:val="37"/>
        <w:spacing w:before="156" w:after="156"/>
      </w:pPr>
      <w:r>
        <w:t>表3-1  检测结果</w:t>
      </w:r>
    </w:p>
    <w:tbl>
      <w:tblPr>
        <w:tblStyle w:val="23"/>
        <w:tblpPr w:leftFromText="180" w:rightFromText="180" w:vertAnchor="text" w:horzAnchor="margin" w:tblpXSpec="center" w:tblpY="7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1658"/>
        <w:gridCol w:w="898"/>
        <w:gridCol w:w="2021"/>
        <w:gridCol w:w="1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2518" w:type="dxa"/>
            <w:vAlign w:val="center"/>
          </w:tcPr>
          <w:p>
            <w:pPr>
              <w:spacing w:line="280" w:lineRule="exact"/>
              <w:ind w:firstLine="420"/>
              <w:jc w:val="center"/>
              <w:rPr>
                <w:rFonts w:cs="Times New Roman"/>
                <w:sz w:val="21"/>
                <w:szCs w:val="21"/>
              </w:rPr>
            </w:pPr>
            <w:r>
              <w:rPr>
                <w:rFonts w:cs="Times New Roman"/>
                <w:sz w:val="21"/>
                <w:szCs w:val="21"/>
              </w:rPr>
              <w:t>项目</w:t>
            </w:r>
          </w:p>
        </w:tc>
        <w:tc>
          <w:tcPr>
            <w:tcW w:w="1658" w:type="dxa"/>
            <w:vAlign w:val="center"/>
          </w:tcPr>
          <w:p>
            <w:pPr>
              <w:spacing w:line="280" w:lineRule="exact"/>
              <w:ind w:firstLine="420"/>
              <w:jc w:val="center"/>
              <w:rPr>
                <w:rFonts w:cs="Times New Roman"/>
                <w:sz w:val="21"/>
                <w:szCs w:val="21"/>
              </w:rPr>
            </w:pPr>
            <w:r>
              <w:rPr>
                <w:rFonts w:cs="Times New Roman"/>
                <w:sz w:val="21"/>
                <w:szCs w:val="21"/>
              </w:rPr>
              <w:t>检测结果</w:t>
            </w:r>
          </w:p>
        </w:tc>
        <w:tc>
          <w:tcPr>
            <w:tcW w:w="898" w:type="dxa"/>
            <w:vAlign w:val="center"/>
          </w:tcPr>
          <w:p>
            <w:pPr>
              <w:spacing w:line="280" w:lineRule="exact"/>
              <w:ind w:firstLine="0" w:firstLineChars="0"/>
              <w:rPr>
                <w:rFonts w:cs="Times New Roman"/>
                <w:sz w:val="21"/>
                <w:szCs w:val="21"/>
              </w:rPr>
            </w:pPr>
            <w:r>
              <w:rPr>
                <w:rFonts w:cs="Times New Roman"/>
                <w:sz w:val="21"/>
                <w:szCs w:val="21"/>
              </w:rPr>
              <w:t>指标水质类别</w:t>
            </w:r>
          </w:p>
        </w:tc>
        <w:tc>
          <w:tcPr>
            <w:tcW w:w="2021" w:type="dxa"/>
            <w:vAlign w:val="center"/>
          </w:tcPr>
          <w:p>
            <w:pPr>
              <w:spacing w:line="280" w:lineRule="exact"/>
              <w:ind w:firstLine="0" w:firstLineChars="0"/>
              <w:rPr>
                <w:rFonts w:cs="Times New Roman"/>
                <w:sz w:val="21"/>
                <w:szCs w:val="21"/>
              </w:rPr>
            </w:pPr>
            <w:r>
              <w:rPr>
                <w:rFonts w:cs="Times New Roman"/>
                <w:sz w:val="21"/>
                <w:szCs w:val="21"/>
              </w:rPr>
              <w:t>地表水Ⅲ类标准限值GB3838-2002</w:t>
            </w:r>
          </w:p>
        </w:tc>
        <w:tc>
          <w:tcPr>
            <w:tcW w:w="1427" w:type="dxa"/>
            <w:vAlign w:val="center"/>
          </w:tcPr>
          <w:p>
            <w:pPr>
              <w:spacing w:line="280" w:lineRule="exact"/>
              <w:ind w:firstLine="420"/>
              <w:jc w:val="center"/>
              <w:rPr>
                <w:rFonts w:cs="Times New Roman"/>
                <w:sz w:val="21"/>
                <w:szCs w:val="21"/>
              </w:rPr>
            </w:pPr>
            <w:r>
              <w:rPr>
                <w:rFonts w:cs="Times New Roman"/>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2518" w:type="dxa"/>
            <w:vAlign w:val="center"/>
          </w:tcPr>
          <w:p>
            <w:pPr>
              <w:spacing w:line="280" w:lineRule="exact"/>
              <w:ind w:firstLine="420"/>
              <w:jc w:val="center"/>
              <w:rPr>
                <w:rFonts w:cs="Times New Roman"/>
                <w:sz w:val="21"/>
                <w:szCs w:val="21"/>
              </w:rPr>
            </w:pPr>
            <w:r>
              <w:rPr>
                <w:rFonts w:cs="Times New Roman"/>
                <w:sz w:val="21"/>
                <w:szCs w:val="21"/>
              </w:rPr>
              <w:t>气温</w:t>
            </w:r>
          </w:p>
        </w:tc>
        <w:tc>
          <w:tcPr>
            <w:tcW w:w="1658" w:type="dxa"/>
            <w:vAlign w:val="center"/>
          </w:tcPr>
          <w:p>
            <w:pPr>
              <w:spacing w:line="260" w:lineRule="exact"/>
              <w:ind w:firstLine="420"/>
              <w:jc w:val="center"/>
              <w:rPr>
                <w:rFonts w:cs="Times New Roman"/>
                <w:color w:val="000000"/>
                <w:sz w:val="21"/>
                <w:szCs w:val="21"/>
              </w:rPr>
            </w:pPr>
            <w:r>
              <w:rPr>
                <w:rFonts w:cs="Times New Roman"/>
                <w:color w:val="000000"/>
                <w:sz w:val="21"/>
                <w:szCs w:val="21"/>
              </w:rPr>
              <w:t>18.3</w:t>
            </w:r>
          </w:p>
        </w:tc>
        <w:tc>
          <w:tcPr>
            <w:tcW w:w="898" w:type="dxa"/>
            <w:vAlign w:val="center"/>
          </w:tcPr>
          <w:p>
            <w:pPr>
              <w:spacing w:line="280" w:lineRule="exact"/>
              <w:ind w:firstLine="420"/>
              <w:jc w:val="center"/>
              <w:rPr>
                <w:rFonts w:cs="Times New Roman"/>
                <w:color w:val="000000"/>
                <w:sz w:val="21"/>
                <w:szCs w:val="21"/>
              </w:rPr>
            </w:pPr>
            <w:r>
              <w:rPr>
                <w:rFonts w:cs="Times New Roman"/>
                <w:kern w:val="0"/>
                <w:sz w:val="21"/>
                <w:szCs w:val="21"/>
              </w:rPr>
              <w:t>/</w:t>
            </w:r>
          </w:p>
        </w:tc>
        <w:tc>
          <w:tcPr>
            <w:tcW w:w="2021" w:type="dxa"/>
            <w:vAlign w:val="center"/>
          </w:tcPr>
          <w:p>
            <w:pPr>
              <w:spacing w:line="240" w:lineRule="auto"/>
              <w:ind w:firstLine="420"/>
              <w:jc w:val="center"/>
              <w:rPr>
                <w:rFonts w:cs="Times New Roman"/>
                <w:color w:val="000000"/>
                <w:kern w:val="0"/>
                <w:sz w:val="21"/>
                <w:szCs w:val="21"/>
              </w:rPr>
            </w:pPr>
            <w:r>
              <w:rPr>
                <w:rFonts w:cs="Times New Roman"/>
                <w:kern w:val="0"/>
                <w:sz w:val="21"/>
                <w:szCs w:val="21"/>
              </w:rPr>
              <w:t>/</w:t>
            </w:r>
          </w:p>
        </w:tc>
        <w:tc>
          <w:tcPr>
            <w:tcW w:w="1427" w:type="dxa"/>
            <w:vMerge w:val="restart"/>
            <w:vAlign w:val="center"/>
          </w:tcPr>
          <w:p>
            <w:pPr>
              <w:spacing w:line="280" w:lineRule="exact"/>
              <w:ind w:firstLine="420"/>
              <w:jc w:val="left"/>
              <w:rPr>
                <w:rFonts w:cs="Times New Roman"/>
                <w:color w:val="000000"/>
                <w:sz w:val="21"/>
                <w:szCs w:val="21"/>
              </w:rPr>
            </w:pPr>
            <w:r>
              <w:rPr>
                <w:rFonts w:cs="Times New Roman"/>
                <w:color w:val="000000"/>
                <w:sz w:val="21"/>
                <w:szCs w:val="21"/>
              </w:rPr>
              <w:t>（1）气温、水温单位为℃；气压hpa,pH为无量纲；粪大肠菌群单位为MPN/L；电导率单位为</w:t>
            </w:r>
          </w:p>
          <w:p>
            <w:pPr>
              <w:spacing w:line="280" w:lineRule="exact"/>
              <w:ind w:firstLine="420"/>
              <w:jc w:val="left"/>
              <w:rPr>
                <w:rFonts w:cs="Times New Roman"/>
                <w:color w:val="000000"/>
                <w:sz w:val="21"/>
                <w:szCs w:val="21"/>
              </w:rPr>
            </w:pPr>
            <w:r>
              <w:rPr>
                <w:rFonts w:cs="Times New Roman"/>
                <w:color w:val="000000"/>
                <w:sz w:val="21"/>
                <w:szCs w:val="21"/>
              </w:rPr>
              <w:t>μs/cm</w:t>
            </w:r>
            <w:r>
              <w:rPr>
                <w:rFonts w:cs="Times New Roman"/>
                <w:color w:val="000000"/>
                <w:sz w:val="21"/>
                <w:szCs w:val="21"/>
                <w:vertAlign w:val="superscript"/>
              </w:rPr>
              <w:t xml:space="preserve"> </w:t>
            </w:r>
            <w:r>
              <w:rPr>
                <w:rFonts w:cs="Times New Roman"/>
                <w:color w:val="000000"/>
                <w:sz w:val="21"/>
                <w:szCs w:val="21"/>
              </w:rPr>
              <w:t>；其它单位为mg/L。</w:t>
            </w:r>
          </w:p>
          <w:p>
            <w:pPr>
              <w:spacing w:line="280" w:lineRule="exact"/>
              <w:ind w:firstLine="0" w:firstLineChars="0"/>
              <w:rPr>
                <w:rFonts w:cs="Times New Roman"/>
                <w:color w:val="000000"/>
                <w:kern w:val="0"/>
                <w:sz w:val="21"/>
                <w:szCs w:val="21"/>
              </w:rPr>
            </w:pPr>
            <w:r>
              <w:rPr>
                <w:rFonts w:cs="Times New Roman"/>
                <w:color w:val="000000"/>
                <w:kern w:val="0"/>
                <w:sz w:val="21"/>
                <w:szCs w:val="21"/>
              </w:rPr>
              <w:t>（2）低于方法最低检出限的，用“检出限+L”表示。</w:t>
            </w:r>
          </w:p>
          <w:p>
            <w:pPr>
              <w:spacing w:line="280" w:lineRule="exact"/>
              <w:ind w:firstLine="0" w:firstLineChars="0"/>
              <w:rPr>
                <w:rFonts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2518" w:type="dxa"/>
            <w:vAlign w:val="center"/>
          </w:tcPr>
          <w:p>
            <w:pPr>
              <w:spacing w:line="280" w:lineRule="exact"/>
              <w:ind w:firstLine="420"/>
              <w:jc w:val="center"/>
              <w:rPr>
                <w:rFonts w:cs="Times New Roman"/>
                <w:sz w:val="21"/>
                <w:szCs w:val="21"/>
              </w:rPr>
            </w:pPr>
            <w:r>
              <w:rPr>
                <w:rFonts w:cs="Times New Roman"/>
                <w:sz w:val="21"/>
                <w:szCs w:val="21"/>
              </w:rPr>
              <w:t>气压</w:t>
            </w:r>
          </w:p>
        </w:tc>
        <w:tc>
          <w:tcPr>
            <w:tcW w:w="1658" w:type="dxa"/>
            <w:vAlign w:val="center"/>
          </w:tcPr>
          <w:p>
            <w:pPr>
              <w:spacing w:line="260" w:lineRule="exact"/>
              <w:ind w:firstLine="420"/>
              <w:jc w:val="center"/>
              <w:rPr>
                <w:rFonts w:cs="Times New Roman"/>
                <w:sz w:val="21"/>
                <w:szCs w:val="21"/>
              </w:rPr>
            </w:pPr>
            <w:r>
              <w:rPr>
                <w:rFonts w:cs="Times New Roman"/>
                <w:sz w:val="21"/>
                <w:szCs w:val="21"/>
              </w:rPr>
              <w:t>794</w:t>
            </w:r>
          </w:p>
        </w:tc>
        <w:tc>
          <w:tcPr>
            <w:tcW w:w="898" w:type="dxa"/>
            <w:vAlign w:val="center"/>
          </w:tcPr>
          <w:p>
            <w:pPr>
              <w:spacing w:line="280" w:lineRule="exact"/>
              <w:ind w:firstLine="420"/>
              <w:jc w:val="center"/>
              <w:rPr>
                <w:rFonts w:cs="Times New Roman"/>
                <w:sz w:val="21"/>
                <w:szCs w:val="21"/>
              </w:rPr>
            </w:pPr>
            <w:r>
              <w:rPr>
                <w:rFonts w:cs="Times New Roman"/>
                <w:kern w:val="0"/>
                <w:sz w:val="21"/>
                <w:szCs w:val="21"/>
              </w:rPr>
              <w:t>/</w:t>
            </w:r>
          </w:p>
        </w:tc>
        <w:tc>
          <w:tcPr>
            <w:tcW w:w="2021" w:type="dxa"/>
            <w:vAlign w:val="center"/>
          </w:tcPr>
          <w:p>
            <w:pPr>
              <w:spacing w:line="240" w:lineRule="auto"/>
              <w:ind w:firstLine="420"/>
              <w:jc w:val="center"/>
              <w:rPr>
                <w:rFonts w:cs="Times New Roman"/>
                <w:color w:val="000000"/>
                <w:sz w:val="21"/>
                <w:szCs w:val="21"/>
              </w:rPr>
            </w:pPr>
            <w:r>
              <w:rPr>
                <w:rFonts w:cs="Times New Roman"/>
                <w:kern w:val="0"/>
                <w:sz w:val="21"/>
                <w:szCs w:val="21"/>
              </w:rPr>
              <w:t>/</w:t>
            </w:r>
          </w:p>
        </w:tc>
        <w:tc>
          <w:tcPr>
            <w:tcW w:w="1427" w:type="dxa"/>
            <w:vMerge w:val="continue"/>
            <w:vAlign w:val="center"/>
          </w:tcPr>
          <w:p>
            <w:pPr>
              <w:spacing w:line="280" w:lineRule="exact"/>
              <w:ind w:firstLine="42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2518" w:type="dxa"/>
            <w:vAlign w:val="center"/>
          </w:tcPr>
          <w:p>
            <w:pPr>
              <w:spacing w:line="280" w:lineRule="exact"/>
              <w:ind w:firstLine="420"/>
              <w:jc w:val="center"/>
              <w:rPr>
                <w:rFonts w:cs="Times New Roman"/>
                <w:sz w:val="21"/>
                <w:szCs w:val="21"/>
              </w:rPr>
            </w:pPr>
            <w:r>
              <w:rPr>
                <w:rFonts w:cs="Times New Roman"/>
                <w:sz w:val="21"/>
                <w:szCs w:val="21"/>
              </w:rPr>
              <w:t>电导率</w:t>
            </w:r>
          </w:p>
        </w:tc>
        <w:tc>
          <w:tcPr>
            <w:tcW w:w="1658" w:type="dxa"/>
            <w:vAlign w:val="center"/>
          </w:tcPr>
          <w:p>
            <w:pPr>
              <w:spacing w:line="260" w:lineRule="exact"/>
              <w:ind w:firstLine="420"/>
              <w:jc w:val="center"/>
              <w:rPr>
                <w:rFonts w:cs="Times New Roman"/>
                <w:sz w:val="21"/>
                <w:szCs w:val="21"/>
              </w:rPr>
            </w:pPr>
            <w:r>
              <w:rPr>
                <w:rFonts w:cs="Times New Roman"/>
                <w:sz w:val="21"/>
                <w:szCs w:val="21"/>
              </w:rPr>
              <w:t>153</w:t>
            </w:r>
          </w:p>
        </w:tc>
        <w:tc>
          <w:tcPr>
            <w:tcW w:w="898" w:type="dxa"/>
            <w:vAlign w:val="center"/>
          </w:tcPr>
          <w:p>
            <w:pPr>
              <w:spacing w:line="280" w:lineRule="exact"/>
              <w:ind w:firstLine="420"/>
              <w:jc w:val="center"/>
              <w:rPr>
                <w:rFonts w:cs="Times New Roman"/>
                <w:sz w:val="21"/>
                <w:szCs w:val="21"/>
              </w:rPr>
            </w:pPr>
            <w:r>
              <w:rPr>
                <w:rFonts w:cs="Times New Roman"/>
                <w:kern w:val="0"/>
                <w:sz w:val="21"/>
                <w:szCs w:val="21"/>
              </w:rPr>
              <w:t>/</w:t>
            </w:r>
          </w:p>
        </w:tc>
        <w:tc>
          <w:tcPr>
            <w:tcW w:w="2021" w:type="dxa"/>
            <w:vAlign w:val="center"/>
          </w:tcPr>
          <w:p>
            <w:pPr>
              <w:spacing w:line="240" w:lineRule="auto"/>
              <w:ind w:firstLine="420"/>
              <w:jc w:val="center"/>
              <w:rPr>
                <w:rFonts w:cs="Times New Roman"/>
                <w:color w:val="000000"/>
                <w:sz w:val="21"/>
                <w:szCs w:val="21"/>
              </w:rPr>
            </w:pPr>
            <w:r>
              <w:rPr>
                <w:rFonts w:cs="Times New Roman"/>
                <w:kern w:val="0"/>
                <w:sz w:val="21"/>
                <w:szCs w:val="21"/>
              </w:rPr>
              <w:t>/</w:t>
            </w:r>
          </w:p>
        </w:tc>
        <w:tc>
          <w:tcPr>
            <w:tcW w:w="1427" w:type="dxa"/>
            <w:vMerge w:val="continue"/>
            <w:vAlign w:val="center"/>
          </w:tcPr>
          <w:p>
            <w:pPr>
              <w:spacing w:line="280" w:lineRule="exact"/>
              <w:ind w:firstLine="42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2518" w:type="dxa"/>
            <w:vAlign w:val="center"/>
          </w:tcPr>
          <w:p>
            <w:pPr>
              <w:spacing w:line="280" w:lineRule="exact"/>
              <w:ind w:firstLine="420"/>
              <w:jc w:val="center"/>
              <w:rPr>
                <w:rFonts w:cs="Times New Roman"/>
                <w:sz w:val="21"/>
                <w:szCs w:val="21"/>
              </w:rPr>
            </w:pPr>
            <w:r>
              <w:rPr>
                <w:rFonts w:cs="Times New Roman"/>
                <w:sz w:val="21"/>
                <w:szCs w:val="21"/>
              </w:rPr>
              <w:t>水温</w:t>
            </w:r>
          </w:p>
        </w:tc>
        <w:tc>
          <w:tcPr>
            <w:tcW w:w="1658" w:type="dxa"/>
            <w:vAlign w:val="center"/>
          </w:tcPr>
          <w:p>
            <w:pPr>
              <w:spacing w:line="260" w:lineRule="exact"/>
              <w:ind w:firstLine="420"/>
              <w:jc w:val="center"/>
              <w:rPr>
                <w:rFonts w:cs="Times New Roman"/>
                <w:sz w:val="21"/>
                <w:szCs w:val="21"/>
              </w:rPr>
            </w:pPr>
            <w:r>
              <w:rPr>
                <w:rFonts w:cs="Times New Roman"/>
                <w:sz w:val="21"/>
                <w:szCs w:val="21"/>
              </w:rPr>
              <w:t>15.4</w:t>
            </w:r>
          </w:p>
        </w:tc>
        <w:tc>
          <w:tcPr>
            <w:tcW w:w="898" w:type="dxa"/>
            <w:vAlign w:val="center"/>
          </w:tcPr>
          <w:p>
            <w:pPr>
              <w:spacing w:line="280" w:lineRule="exact"/>
              <w:ind w:firstLine="420"/>
              <w:jc w:val="center"/>
              <w:rPr>
                <w:rFonts w:cs="Times New Roman"/>
                <w:sz w:val="21"/>
                <w:szCs w:val="21"/>
              </w:rPr>
            </w:pPr>
            <w:r>
              <w:rPr>
                <w:rFonts w:cs="Times New Roman"/>
                <w:kern w:val="0"/>
                <w:sz w:val="21"/>
                <w:szCs w:val="21"/>
              </w:rPr>
              <w:t>/</w:t>
            </w:r>
          </w:p>
        </w:tc>
        <w:tc>
          <w:tcPr>
            <w:tcW w:w="2021" w:type="dxa"/>
            <w:vAlign w:val="center"/>
          </w:tcPr>
          <w:p>
            <w:pPr>
              <w:spacing w:line="280" w:lineRule="exact"/>
              <w:ind w:firstLine="420"/>
              <w:jc w:val="center"/>
              <w:rPr>
                <w:rFonts w:cs="Times New Roman"/>
                <w:color w:val="000000"/>
                <w:sz w:val="21"/>
                <w:szCs w:val="21"/>
              </w:rPr>
            </w:pPr>
            <w:r>
              <w:rPr>
                <w:rFonts w:cs="Times New Roman"/>
                <w:kern w:val="0"/>
                <w:sz w:val="21"/>
                <w:szCs w:val="21"/>
              </w:rPr>
              <w:t>/</w:t>
            </w:r>
          </w:p>
        </w:tc>
        <w:tc>
          <w:tcPr>
            <w:tcW w:w="1427" w:type="dxa"/>
            <w:vMerge w:val="continue"/>
            <w:vAlign w:val="center"/>
          </w:tcPr>
          <w:p>
            <w:pPr>
              <w:spacing w:line="280" w:lineRule="exact"/>
              <w:ind w:firstLine="42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2518" w:type="dxa"/>
            <w:vAlign w:val="center"/>
          </w:tcPr>
          <w:p>
            <w:pPr>
              <w:spacing w:line="280" w:lineRule="exact"/>
              <w:ind w:firstLine="420"/>
              <w:jc w:val="center"/>
              <w:rPr>
                <w:rFonts w:cs="Times New Roman"/>
                <w:sz w:val="21"/>
                <w:szCs w:val="21"/>
              </w:rPr>
            </w:pPr>
            <w:r>
              <w:rPr>
                <w:rFonts w:cs="Times New Roman"/>
                <w:sz w:val="21"/>
                <w:szCs w:val="21"/>
              </w:rPr>
              <w:t>pH</w:t>
            </w:r>
          </w:p>
        </w:tc>
        <w:tc>
          <w:tcPr>
            <w:tcW w:w="1658" w:type="dxa"/>
            <w:vAlign w:val="center"/>
          </w:tcPr>
          <w:p>
            <w:pPr>
              <w:spacing w:line="260" w:lineRule="exact"/>
              <w:ind w:firstLine="420"/>
              <w:jc w:val="center"/>
              <w:rPr>
                <w:rFonts w:cs="Times New Roman"/>
                <w:sz w:val="21"/>
                <w:szCs w:val="21"/>
              </w:rPr>
            </w:pPr>
            <w:r>
              <w:rPr>
                <w:rFonts w:cs="Times New Roman"/>
                <w:sz w:val="21"/>
                <w:szCs w:val="21"/>
              </w:rPr>
              <w:t>8.06</w:t>
            </w:r>
          </w:p>
        </w:tc>
        <w:tc>
          <w:tcPr>
            <w:tcW w:w="898" w:type="dxa"/>
            <w:vAlign w:val="center"/>
          </w:tcPr>
          <w:p>
            <w:pPr>
              <w:spacing w:line="280" w:lineRule="exact"/>
              <w:ind w:firstLine="420"/>
              <w:jc w:val="center"/>
              <w:rPr>
                <w:rFonts w:cs="Times New Roman"/>
                <w:sz w:val="21"/>
                <w:szCs w:val="21"/>
              </w:rPr>
            </w:pPr>
            <w:r>
              <w:rPr>
                <w:rFonts w:cs="Times New Roman"/>
                <w:kern w:val="0"/>
                <w:sz w:val="21"/>
                <w:szCs w:val="21"/>
              </w:rPr>
              <w:t>/</w:t>
            </w:r>
          </w:p>
        </w:tc>
        <w:tc>
          <w:tcPr>
            <w:tcW w:w="2021" w:type="dxa"/>
            <w:vAlign w:val="center"/>
          </w:tcPr>
          <w:p>
            <w:pPr>
              <w:spacing w:line="240" w:lineRule="auto"/>
              <w:ind w:firstLine="420"/>
              <w:jc w:val="center"/>
              <w:rPr>
                <w:rFonts w:cs="Times New Roman"/>
                <w:color w:val="000000"/>
                <w:sz w:val="21"/>
                <w:szCs w:val="21"/>
              </w:rPr>
            </w:pPr>
            <w:r>
              <w:rPr>
                <w:rFonts w:cs="Times New Roman"/>
                <w:sz w:val="21"/>
                <w:szCs w:val="21"/>
              </w:rPr>
              <w:t>6-9</w:t>
            </w:r>
          </w:p>
        </w:tc>
        <w:tc>
          <w:tcPr>
            <w:tcW w:w="1427" w:type="dxa"/>
            <w:vMerge w:val="continue"/>
            <w:vAlign w:val="center"/>
          </w:tcPr>
          <w:p>
            <w:pPr>
              <w:spacing w:line="280" w:lineRule="exact"/>
              <w:ind w:firstLine="42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2518" w:type="dxa"/>
            <w:vAlign w:val="center"/>
          </w:tcPr>
          <w:p>
            <w:pPr>
              <w:spacing w:line="280" w:lineRule="exact"/>
              <w:ind w:firstLine="420"/>
              <w:jc w:val="center"/>
              <w:rPr>
                <w:rFonts w:cs="Times New Roman"/>
                <w:sz w:val="21"/>
                <w:szCs w:val="21"/>
              </w:rPr>
            </w:pPr>
            <w:r>
              <w:rPr>
                <w:rFonts w:cs="Times New Roman"/>
                <w:sz w:val="21"/>
                <w:szCs w:val="21"/>
              </w:rPr>
              <w:t>溶解氧</w:t>
            </w:r>
          </w:p>
        </w:tc>
        <w:tc>
          <w:tcPr>
            <w:tcW w:w="1658" w:type="dxa"/>
            <w:vAlign w:val="center"/>
          </w:tcPr>
          <w:p>
            <w:pPr>
              <w:spacing w:line="260" w:lineRule="exact"/>
              <w:ind w:firstLine="420"/>
              <w:jc w:val="center"/>
              <w:rPr>
                <w:rFonts w:cs="Times New Roman"/>
                <w:sz w:val="21"/>
                <w:szCs w:val="21"/>
              </w:rPr>
            </w:pPr>
            <w:r>
              <w:rPr>
                <w:rFonts w:cs="Times New Roman"/>
                <w:sz w:val="21"/>
                <w:szCs w:val="21"/>
              </w:rPr>
              <w:t>6.8</w:t>
            </w:r>
          </w:p>
        </w:tc>
        <w:tc>
          <w:tcPr>
            <w:tcW w:w="898" w:type="dxa"/>
            <w:vAlign w:val="center"/>
          </w:tcPr>
          <w:p>
            <w:pPr>
              <w:spacing w:line="280" w:lineRule="exact"/>
              <w:ind w:firstLine="420"/>
              <w:jc w:val="center"/>
              <w:rPr>
                <w:rFonts w:cs="Times New Roman"/>
                <w:sz w:val="21"/>
                <w:szCs w:val="21"/>
              </w:rPr>
            </w:pPr>
            <w:r>
              <w:rPr>
                <w:rFonts w:cs="Times New Roman"/>
                <w:sz w:val="21"/>
                <w:szCs w:val="21"/>
              </w:rPr>
              <w:t>Ⅱ</w:t>
            </w:r>
          </w:p>
        </w:tc>
        <w:tc>
          <w:tcPr>
            <w:tcW w:w="2021" w:type="dxa"/>
            <w:vAlign w:val="center"/>
          </w:tcPr>
          <w:p>
            <w:pPr>
              <w:spacing w:line="240" w:lineRule="auto"/>
              <w:ind w:firstLine="420"/>
              <w:jc w:val="center"/>
              <w:rPr>
                <w:rFonts w:cs="Times New Roman"/>
                <w:sz w:val="21"/>
                <w:szCs w:val="21"/>
              </w:rPr>
            </w:pPr>
            <w:r>
              <w:rPr>
                <w:rFonts w:cs="Times New Roman"/>
                <w:sz w:val="21"/>
                <w:szCs w:val="21"/>
              </w:rPr>
              <w:t>≥5</w:t>
            </w:r>
          </w:p>
        </w:tc>
        <w:tc>
          <w:tcPr>
            <w:tcW w:w="1427" w:type="dxa"/>
            <w:vMerge w:val="continue"/>
            <w:vAlign w:val="center"/>
          </w:tcPr>
          <w:p>
            <w:pPr>
              <w:spacing w:line="280" w:lineRule="exact"/>
              <w:ind w:firstLine="42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2518" w:type="dxa"/>
            <w:vAlign w:val="center"/>
          </w:tcPr>
          <w:p>
            <w:pPr>
              <w:spacing w:line="280" w:lineRule="exact"/>
              <w:ind w:firstLine="420"/>
              <w:jc w:val="center"/>
              <w:rPr>
                <w:rFonts w:cs="Times New Roman"/>
                <w:sz w:val="21"/>
                <w:szCs w:val="21"/>
              </w:rPr>
            </w:pPr>
            <w:r>
              <w:rPr>
                <w:rFonts w:cs="Times New Roman"/>
                <w:sz w:val="21"/>
                <w:szCs w:val="21"/>
              </w:rPr>
              <w:t>高锰酸盐指数</w:t>
            </w:r>
          </w:p>
        </w:tc>
        <w:tc>
          <w:tcPr>
            <w:tcW w:w="1658" w:type="dxa"/>
            <w:vAlign w:val="center"/>
          </w:tcPr>
          <w:p>
            <w:pPr>
              <w:spacing w:line="260" w:lineRule="exact"/>
              <w:ind w:firstLine="420"/>
              <w:jc w:val="center"/>
              <w:rPr>
                <w:rFonts w:cs="Times New Roman"/>
                <w:sz w:val="21"/>
                <w:szCs w:val="21"/>
              </w:rPr>
            </w:pPr>
            <w:r>
              <w:rPr>
                <w:rFonts w:cs="Times New Roman"/>
                <w:sz w:val="21"/>
                <w:szCs w:val="21"/>
              </w:rPr>
              <w:t>2.6</w:t>
            </w:r>
          </w:p>
        </w:tc>
        <w:tc>
          <w:tcPr>
            <w:tcW w:w="898" w:type="dxa"/>
            <w:vAlign w:val="center"/>
          </w:tcPr>
          <w:p>
            <w:pPr>
              <w:spacing w:line="280" w:lineRule="exact"/>
              <w:ind w:firstLine="420"/>
              <w:jc w:val="center"/>
              <w:rPr>
                <w:rFonts w:cs="Times New Roman"/>
                <w:sz w:val="21"/>
                <w:szCs w:val="21"/>
              </w:rPr>
            </w:pPr>
            <w:r>
              <w:rPr>
                <w:rFonts w:cs="Times New Roman"/>
                <w:sz w:val="21"/>
                <w:szCs w:val="21"/>
              </w:rPr>
              <w:t>Ⅱ</w:t>
            </w:r>
          </w:p>
        </w:tc>
        <w:tc>
          <w:tcPr>
            <w:tcW w:w="2021" w:type="dxa"/>
            <w:vAlign w:val="center"/>
          </w:tcPr>
          <w:p>
            <w:pPr>
              <w:spacing w:line="240" w:lineRule="auto"/>
              <w:ind w:firstLine="420"/>
              <w:jc w:val="center"/>
              <w:rPr>
                <w:rFonts w:cs="Times New Roman"/>
                <w:sz w:val="21"/>
                <w:szCs w:val="21"/>
              </w:rPr>
            </w:pPr>
            <w:r>
              <w:rPr>
                <w:rFonts w:cs="Times New Roman"/>
                <w:sz w:val="21"/>
                <w:szCs w:val="21"/>
              </w:rPr>
              <w:t>≤6</w:t>
            </w:r>
          </w:p>
        </w:tc>
        <w:tc>
          <w:tcPr>
            <w:tcW w:w="1427" w:type="dxa"/>
            <w:vMerge w:val="continue"/>
            <w:vAlign w:val="center"/>
          </w:tcPr>
          <w:p>
            <w:pPr>
              <w:spacing w:line="280" w:lineRule="exact"/>
              <w:ind w:firstLine="42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2518" w:type="dxa"/>
            <w:vAlign w:val="center"/>
          </w:tcPr>
          <w:p>
            <w:pPr>
              <w:spacing w:line="280" w:lineRule="exact"/>
              <w:ind w:firstLine="420"/>
              <w:jc w:val="center"/>
              <w:rPr>
                <w:rFonts w:cs="Times New Roman"/>
                <w:sz w:val="21"/>
                <w:szCs w:val="21"/>
              </w:rPr>
            </w:pPr>
            <w:r>
              <w:rPr>
                <w:rFonts w:cs="Times New Roman"/>
                <w:sz w:val="21"/>
                <w:szCs w:val="21"/>
              </w:rPr>
              <w:t>化学需氧量</w:t>
            </w:r>
          </w:p>
        </w:tc>
        <w:tc>
          <w:tcPr>
            <w:tcW w:w="1658" w:type="dxa"/>
            <w:vAlign w:val="center"/>
          </w:tcPr>
          <w:p>
            <w:pPr>
              <w:spacing w:line="260" w:lineRule="exact"/>
              <w:ind w:firstLine="420"/>
              <w:jc w:val="center"/>
              <w:rPr>
                <w:rFonts w:cs="Times New Roman"/>
                <w:sz w:val="21"/>
                <w:szCs w:val="21"/>
              </w:rPr>
            </w:pPr>
            <w:r>
              <w:rPr>
                <w:rFonts w:cs="Times New Roman"/>
                <w:sz w:val="21"/>
                <w:szCs w:val="21"/>
              </w:rPr>
              <w:t>13</w:t>
            </w:r>
          </w:p>
        </w:tc>
        <w:tc>
          <w:tcPr>
            <w:tcW w:w="898" w:type="dxa"/>
            <w:vAlign w:val="center"/>
          </w:tcPr>
          <w:p>
            <w:pPr>
              <w:spacing w:line="280" w:lineRule="exact"/>
              <w:ind w:firstLine="420"/>
              <w:jc w:val="center"/>
              <w:rPr>
                <w:rFonts w:cs="Times New Roman"/>
                <w:sz w:val="21"/>
                <w:szCs w:val="21"/>
              </w:rPr>
            </w:pPr>
            <w:r>
              <w:rPr>
                <w:rFonts w:cs="Times New Roman"/>
                <w:sz w:val="21"/>
                <w:szCs w:val="21"/>
              </w:rPr>
              <w:t>Ⅰ</w:t>
            </w:r>
          </w:p>
        </w:tc>
        <w:tc>
          <w:tcPr>
            <w:tcW w:w="2021" w:type="dxa"/>
            <w:vAlign w:val="center"/>
          </w:tcPr>
          <w:p>
            <w:pPr>
              <w:spacing w:line="280" w:lineRule="exact"/>
              <w:ind w:firstLine="420"/>
              <w:jc w:val="center"/>
              <w:rPr>
                <w:rFonts w:cs="Times New Roman"/>
                <w:color w:val="000000"/>
                <w:sz w:val="21"/>
                <w:szCs w:val="21"/>
              </w:rPr>
            </w:pPr>
            <w:r>
              <w:rPr>
                <w:rFonts w:cs="Times New Roman"/>
                <w:sz w:val="21"/>
                <w:szCs w:val="21"/>
              </w:rPr>
              <w:t>≤20</w:t>
            </w:r>
          </w:p>
        </w:tc>
        <w:tc>
          <w:tcPr>
            <w:tcW w:w="1427" w:type="dxa"/>
            <w:vMerge w:val="continue"/>
            <w:vAlign w:val="center"/>
          </w:tcPr>
          <w:p>
            <w:pPr>
              <w:spacing w:line="280" w:lineRule="exact"/>
              <w:ind w:firstLine="42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2518" w:type="dxa"/>
            <w:vAlign w:val="center"/>
          </w:tcPr>
          <w:p>
            <w:pPr>
              <w:spacing w:line="280" w:lineRule="exact"/>
              <w:ind w:firstLine="420"/>
              <w:jc w:val="center"/>
              <w:rPr>
                <w:rFonts w:cs="Times New Roman"/>
                <w:sz w:val="21"/>
                <w:szCs w:val="21"/>
              </w:rPr>
            </w:pPr>
            <w:r>
              <w:rPr>
                <w:rFonts w:cs="Times New Roman"/>
                <w:sz w:val="21"/>
                <w:szCs w:val="21"/>
              </w:rPr>
              <w:t>五日生化需氧量</w:t>
            </w:r>
          </w:p>
        </w:tc>
        <w:tc>
          <w:tcPr>
            <w:tcW w:w="1658" w:type="dxa"/>
            <w:vAlign w:val="center"/>
          </w:tcPr>
          <w:p>
            <w:pPr>
              <w:spacing w:line="260" w:lineRule="exact"/>
              <w:ind w:firstLine="420"/>
              <w:jc w:val="center"/>
              <w:rPr>
                <w:rFonts w:cs="Times New Roman"/>
                <w:sz w:val="21"/>
                <w:szCs w:val="21"/>
              </w:rPr>
            </w:pPr>
            <w:r>
              <w:rPr>
                <w:rFonts w:cs="Times New Roman"/>
                <w:sz w:val="21"/>
                <w:szCs w:val="21"/>
              </w:rPr>
              <w:t>1.2</w:t>
            </w:r>
          </w:p>
        </w:tc>
        <w:tc>
          <w:tcPr>
            <w:tcW w:w="898" w:type="dxa"/>
            <w:vAlign w:val="center"/>
          </w:tcPr>
          <w:p>
            <w:pPr>
              <w:spacing w:line="260" w:lineRule="exact"/>
              <w:ind w:firstLine="420"/>
              <w:jc w:val="center"/>
              <w:rPr>
                <w:rFonts w:cs="Times New Roman"/>
                <w:sz w:val="21"/>
                <w:szCs w:val="21"/>
              </w:rPr>
            </w:pPr>
            <w:r>
              <w:rPr>
                <w:rFonts w:cs="Times New Roman"/>
                <w:sz w:val="21"/>
                <w:szCs w:val="21"/>
              </w:rPr>
              <w:t>Ⅰ</w:t>
            </w:r>
          </w:p>
        </w:tc>
        <w:tc>
          <w:tcPr>
            <w:tcW w:w="2021" w:type="dxa"/>
            <w:vAlign w:val="center"/>
          </w:tcPr>
          <w:p>
            <w:pPr>
              <w:spacing w:line="240" w:lineRule="auto"/>
              <w:ind w:firstLine="420"/>
              <w:jc w:val="center"/>
              <w:rPr>
                <w:rFonts w:cs="Times New Roman"/>
                <w:color w:val="000000"/>
                <w:sz w:val="21"/>
                <w:szCs w:val="21"/>
              </w:rPr>
            </w:pPr>
            <w:r>
              <w:rPr>
                <w:rFonts w:cs="Times New Roman"/>
                <w:sz w:val="21"/>
                <w:szCs w:val="21"/>
              </w:rPr>
              <w:t>≤4</w:t>
            </w:r>
          </w:p>
        </w:tc>
        <w:tc>
          <w:tcPr>
            <w:tcW w:w="1427" w:type="dxa"/>
            <w:vMerge w:val="continue"/>
            <w:vAlign w:val="center"/>
          </w:tcPr>
          <w:p>
            <w:pPr>
              <w:spacing w:line="280" w:lineRule="exact"/>
              <w:ind w:firstLine="42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2518" w:type="dxa"/>
            <w:vAlign w:val="center"/>
          </w:tcPr>
          <w:p>
            <w:pPr>
              <w:spacing w:line="280" w:lineRule="exact"/>
              <w:ind w:firstLine="420"/>
              <w:jc w:val="center"/>
              <w:rPr>
                <w:rFonts w:cs="Times New Roman"/>
                <w:sz w:val="21"/>
                <w:szCs w:val="21"/>
              </w:rPr>
            </w:pPr>
            <w:r>
              <w:rPr>
                <w:rFonts w:cs="Times New Roman"/>
                <w:sz w:val="21"/>
                <w:szCs w:val="21"/>
              </w:rPr>
              <w:t>氨氮</w:t>
            </w:r>
          </w:p>
        </w:tc>
        <w:tc>
          <w:tcPr>
            <w:tcW w:w="1658" w:type="dxa"/>
            <w:vAlign w:val="center"/>
          </w:tcPr>
          <w:p>
            <w:pPr>
              <w:spacing w:line="260" w:lineRule="exact"/>
              <w:ind w:firstLine="420"/>
              <w:jc w:val="center"/>
              <w:rPr>
                <w:rFonts w:cs="Times New Roman"/>
                <w:sz w:val="21"/>
                <w:szCs w:val="21"/>
              </w:rPr>
            </w:pPr>
            <w:r>
              <w:rPr>
                <w:rFonts w:cs="Times New Roman"/>
                <w:sz w:val="21"/>
                <w:szCs w:val="21"/>
              </w:rPr>
              <w:t>0.108</w:t>
            </w:r>
          </w:p>
        </w:tc>
        <w:tc>
          <w:tcPr>
            <w:tcW w:w="898" w:type="dxa"/>
            <w:vAlign w:val="center"/>
          </w:tcPr>
          <w:p>
            <w:pPr>
              <w:spacing w:line="260" w:lineRule="exact"/>
              <w:ind w:firstLine="420"/>
              <w:jc w:val="center"/>
              <w:rPr>
                <w:rFonts w:cs="Times New Roman"/>
                <w:sz w:val="21"/>
                <w:szCs w:val="21"/>
              </w:rPr>
            </w:pPr>
            <w:r>
              <w:rPr>
                <w:rFonts w:cs="Times New Roman"/>
                <w:sz w:val="21"/>
                <w:szCs w:val="21"/>
              </w:rPr>
              <w:t>Ⅰ</w:t>
            </w:r>
          </w:p>
        </w:tc>
        <w:tc>
          <w:tcPr>
            <w:tcW w:w="2021" w:type="dxa"/>
            <w:vAlign w:val="center"/>
          </w:tcPr>
          <w:p>
            <w:pPr>
              <w:spacing w:line="240" w:lineRule="auto"/>
              <w:ind w:firstLine="420"/>
              <w:jc w:val="center"/>
              <w:rPr>
                <w:rFonts w:cs="Times New Roman"/>
                <w:color w:val="000000"/>
                <w:sz w:val="21"/>
                <w:szCs w:val="21"/>
              </w:rPr>
            </w:pPr>
            <w:r>
              <w:rPr>
                <w:rFonts w:cs="Times New Roman"/>
                <w:sz w:val="21"/>
                <w:szCs w:val="21"/>
              </w:rPr>
              <w:t>≤1.0</w:t>
            </w:r>
          </w:p>
        </w:tc>
        <w:tc>
          <w:tcPr>
            <w:tcW w:w="1427" w:type="dxa"/>
            <w:vMerge w:val="continue"/>
            <w:vAlign w:val="center"/>
          </w:tcPr>
          <w:p>
            <w:pPr>
              <w:spacing w:line="280" w:lineRule="exact"/>
              <w:ind w:firstLine="42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2518" w:type="dxa"/>
            <w:vAlign w:val="center"/>
          </w:tcPr>
          <w:p>
            <w:pPr>
              <w:spacing w:line="280" w:lineRule="exact"/>
              <w:ind w:firstLine="420"/>
              <w:jc w:val="center"/>
              <w:rPr>
                <w:rFonts w:cs="Times New Roman"/>
                <w:sz w:val="21"/>
                <w:szCs w:val="21"/>
              </w:rPr>
            </w:pPr>
            <w:r>
              <w:rPr>
                <w:rFonts w:cs="Times New Roman"/>
                <w:sz w:val="21"/>
                <w:szCs w:val="21"/>
              </w:rPr>
              <w:t>总磷</w:t>
            </w:r>
          </w:p>
        </w:tc>
        <w:tc>
          <w:tcPr>
            <w:tcW w:w="1658" w:type="dxa"/>
            <w:vAlign w:val="center"/>
          </w:tcPr>
          <w:p>
            <w:pPr>
              <w:spacing w:line="260" w:lineRule="exact"/>
              <w:ind w:firstLine="420"/>
              <w:jc w:val="center"/>
              <w:rPr>
                <w:rFonts w:cs="Times New Roman"/>
                <w:sz w:val="21"/>
                <w:szCs w:val="21"/>
              </w:rPr>
            </w:pPr>
            <w:r>
              <w:rPr>
                <w:rFonts w:cs="Times New Roman"/>
                <w:sz w:val="21"/>
                <w:szCs w:val="21"/>
              </w:rPr>
              <w:t>0.027</w:t>
            </w:r>
          </w:p>
        </w:tc>
        <w:tc>
          <w:tcPr>
            <w:tcW w:w="898" w:type="dxa"/>
            <w:vAlign w:val="center"/>
          </w:tcPr>
          <w:p>
            <w:pPr>
              <w:spacing w:line="260" w:lineRule="exact"/>
              <w:ind w:firstLine="420"/>
              <w:jc w:val="center"/>
              <w:rPr>
                <w:rFonts w:cs="Times New Roman"/>
                <w:sz w:val="21"/>
                <w:szCs w:val="21"/>
              </w:rPr>
            </w:pPr>
            <w:r>
              <w:rPr>
                <w:rFonts w:cs="Times New Roman"/>
                <w:sz w:val="21"/>
                <w:szCs w:val="21"/>
              </w:rPr>
              <w:t>Ⅲ</w:t>
            </w:r>
          </w:p>
        </w:tc>
        <w:tc>
          <w:tcPr>
            <w:tcW w:w="2021" w:type="dxa"/>
            <w:vAlign w:val="center"/>
          </w:tcPr>
          <w:p>
            <w:pPr>
              <w:spacing w:line="240" w:lineRule="auto"/>
              <w:ind w:firstLine="420"/>
              <w:jc w:val="center"/>
              <w:rPr>
                <w:rFonts w:cs="Times New Roman"/>
                <w:sz w:val="21"/>
                <w:szCs w:val="21"/>
              </w:rPr>
            </w:pPr>
            <w:r>
              <w:rPr>
                <w:rFonts w:cs="Times New Roman"/>
                <w:sz w:val="21"/>
                <w:szCs w:val="21"/>
              </w:rPr>
              <w:t>≤0.05</w:t>
            </w:r>
          </w:p>
        </w:tc>
        <w:tc>
          <w:tcPr>
            <w:tcW w:w="1427" w:type="dxa"/>
            <w:vMerge w:val="continue"/>
            <w:vAlign w:val="center"/>
          </w:tcPr>
          <w:p>
            <w:pPr>
              <w:spacing w:line="280" w:lineRule="exact"/>
              <w:ind w:firstLine="42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2518" w:type="dxa"/>
            <w:vAlign w:val="center"/>
          </w:tcPr>
          <w:p>
            <w:pPr>
              <w:spacing w:line="280" w:lineRule="exact"/>
              <w:ind w:firstLine="420"/>
              <w:jc w:val="center"/>
              <w:rPr>
                <w:rFonts w:cs="Times New Roman"/>
                <w:sz w:val="21"/>
                <w:szCs w:val="21"/>
              </w:rPr>
            </w:pPr>
            <w:r>
              <w:rPr>
                <w:rFonts w:cs="Times New Roman"/>
                <w:sz w:val="21"/>
                <w:szCs w:val="21"/>
              </w:rPr>
              <w:t>总氮</w:t>
            </w:r>
          </w:p>
        </w:tc>
        <w:tc>
          <w:tcPr>
            <w:tcW w:w="1658" w:type="dxa"/>
            <w:vAlign w:val="center"/>
          </w:tcPr>
          <w:p>
            <w:pPr>
              <w:spacing w:line="260" w:lineRule="exact"/>
              <w:ind w:firstLine="420"/>
              <w:jc w:val="center"/>
              <w:rPr>
                <w:rFonts w:cs="Times New Roman"/>
                <w:sz w:val="21"/>
                <w:szCs w:val="21"/>
              </w:rPr>
            </w:pPr>
            <w:r>
              <w:rPr>
                <w:rFonts w:cs="Times New Roman"/>
                <w:sz w:val="21"/>
                <w:szCs w:val="21"/>
              </w:rPr>
              <w:t>0.765</w:t>
            </w:r>
          </w:p>
        </w:tc>
        <w:tc>
          <w:tcPr>
            <w:tcW w:w="898" w:type="dxa"/>
            <w:vAlign w:val="center"/>
          </w:tcPr>
          <w:p>
            <w:pPr>
              <w:spacing w:line="260" w:lineRule="exact"/>
              <w:ind w:firstLine="420"/>
              <w:jc w:val="center"/>
              <w:rPr>
                <w:rFonts w:cs="Times New Roman"/>
                <w:sz w:val="21"/>
                <w:szCs w:val="21"/>
              </w:rPr>
            </w:pPr>
            <w:r>
              <w:rPr>
                <w:rFonts w:cs="Times New Roman"/>
                <w:sz w:val="21"/>
                <w:szCs w:val="21"/>
              </w:rPr>
              <w:t>Ⅲ</w:t>
            </w:r>
          </w:p>
        </w:tc>
        <w:tc>
          <w:tcPr>
            <w:tcW w:w="2021" w:type="dxa"/>
            <w:vAlign w:val="center"/>
          </w:tcPr>
          <w:p>
            <w:pPr>
              <w:spacing w:line="240" w:lineRule="auto"/>
              <w:ind w:firstLine="420"/>
              <w:jc w:val="center"/>
              <w:rPr>
                <w:rFonts w:cs="Times New Roman"/>
                <w:sz w:val="21"/>
                <w:szCs w:val="21"/>
              </w:rPr>
            </w:pPr>
            <w:r>
              <w:rPr>
                <w:rFonts w:cs="Times New Roman"/>
                <w:sz w:val="21"/>
                <w:szCs w:val="21"/>
              </w:rPr>
              <w:t>≤1.0</w:t>
            </w:r>
          </w:p>
        </w:tc>
        <w:tc>
          <w:tcPr>
            <w:tcW w:w="1427" w:type="dxa"/>
            <w:vMerge w:val="continue"/>
            <w:vAlign w:val="center"/>
          </w:tcPr>
          <w:p>
            <w:pPr>
              <w:spacing w:line="280" w:lineRule="exact"/>
              <w:ind w:firstLine="42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2518" w:type="dxa"/>
            <w:vAlign w:val="center"/>
          </w:tcPr>
          <w:p>
            <w:pPr>
              <w:spacing w:line="280" w:lineRule="exact"/>
              <w:ind w:firstLine="420"/>
              <w:jc w:val="center"/>
              <w:rPr>
                <w:rFonts w:cs="Times New Roman"/>
                <w:sz w:val="21"/>
                <w:szCs w:val="21"/>
              </w:rPr>
            </w:pPr>
            <w:r>
              <w:rPr>
                <w:rFonts w:cs="Times New Roman"/>
                <w:sz w:val="21"/>
                <w:szCs w:val="21"/>
              </w:rPr>
              <w:t>铜</w:t>
            </w:r>
          </w:p>
        </w:tc>
        <w:tc>
          <w:tcPr>
            <w:tcW w:w="1658" w:type="dxa"/>
            <w:tcBorders>
              <w:bottom w:val="single" w:color="000000" w:sz="4" w:space="0"/>
            </w:tcBorders>
            <w:vAlign w:val="center"/>
          </w:tcPr>
          <w:p>
            <w:pPr>
              <w:spacing w:line="260" w:lineRule="exact"/>
              <w:ind w:firstLine="420"/>
              <w:jc w:val="center"/>
              <w:rPr>
                <w:rFonts w:cs="Times New Roman"/>
                <w:sz w:val="21"/>
                <w:szCs w:val="21"/>
              </w:rPr>
            </w:pPr>
            <w:r>
              <w:rPr>
                <w:rFonts w:cs="Times New Roman"/>
                <w:sz w:val="21"/>
                <w:szCs w:val="21"/>
              </w:rPr>
              <w:t>0.001L</w:t>
            </w:r>
          </w:p>
        </w:tc>
        <w:tc>
          <w:tcPr>
            <w:tcW w:w="898" w:type="dxa"/>
            <w:vAlign w:val="center"/>
          </w:tcPr>
          <w:p>
            <w:pPr>
              <w:spacing w:line="260" w:lineRule="exact"/>
              <w:ind w:firstLine="420"/>
              <w:jc w:val="center"/>
              <w:rPr>
                <w:rFonts w:cs="Times New Roman"/>
                <w:sz w:val="21"/>
                <w:szCs w:val="21"/>
              </w:rPr>
            </w:pPr>
            <w:r>
              <w:rPr>
                <w:rFonts w:cs="Times New Roman"/>
                <w:sz w:val="21"/>
                <w:szCs w:val="21"/>
              </w:rPr>
              <w:t>Ⅰ</w:t>
            </w:r>
          </w:p>
        </w:tc>
        <w:tc>
          <w:tcPr>
            <w:tcW w:w="2021" w:type="dxa"/>
            <w:vAlign w:val="center"/>
          </w:tcPr>
          <w:p>
            <w:pPr>
              <w:spacing w:line="240" w:lineRule="auto"/>
              <w:ind w:firstLine="420"/>
              <w:jc w:val="center"/>
              <w:rPr>
                <w:rFonts w:cs="Times New Roman"/>
                <w:color w:val="000000"/>
                <w:sz w:val="21"/>
                <w:szCs w:val="21"/>
              </w:rPr>
            </w:pPr>
            <w:r>
              <w:rPr>
                <w:rFonts w:cs="Times New Roman"/>
                <w:sz w:val="21"/>
                <w:szCs w:val="21"/>
              </w:rPr>
              <w:t>≤1.0</w:t>
            </w:r>
          </w:p>
        </w:tc>
        <w:tc>
          <w:tcPr>
            <w:tcW w:w="1427" w:type="dxa"/>
            <w:vMerge w:val="continue"/>
            <w:vAlign w:val="center"/>
          </w:tcPr>
          <w:p>
            <w:pPr>
              <w:spacing w:line="280" w:lineRule="exact"/>
              <w:ind w:firstLine="42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2518" w:type="dxa"/>
            <w:vAlign w:val="center"/>
          </w:tcPr>
          <w:p>
            <w:pPr>
              <w:spacing w:line="280" w:lineRule="exact"/>
              <w:ind w:firstLine="420"/>
              <w:jc w:val="center"/>
              <w:rPr>
                <w:rFonts w:cs="Times New Roman"/>
                <w:sz w:val="21"/>
                <w:szCs w:val="21"/>
              </w:rPr>
            </w:pPr>
            <w:r>
              <w:rPr>
                <w:rFonts w:cs="Times New Roman"/>
                <w:sz w:val="21"/>
                <w:szCs w:val="21"/>
              </w:rPr>
              <w:t>锌</w:t>
            </w:r>
          </w:p>
        </w:tc>
        <w:tc>
          <w:tcPr>
            <w:tcW w:w="1658" w:type="dxa"/>
            <w:tcBorders>
              <w:top w:val="single" w:color="000000" w:sz="4" w:space="0"/>
            </w:tcBorders>
            <w:vAlign w:val="center"/>
          </w:tcPr>
          <w:p>
            <w:pPr>
              <w:spacing w:line="260" w:lineRule="exact"/>
              <w:ind w:firstLine="420"/>
              <w:jc w:val="center"/>
              <w:rPr>
                <w:rFonts w:cs="Times New Roman"/>
                <w:sz w:val="21"/>
                <w:szCs w:val="21"/>
              </w:rPr>
            </w:pPr>
            <w:r>
              <w:rPr>
                <w:rFonts w:cs="Times New Roman"/>
                <w:sz w:val="21"/>
                <w:szCs w:val="21"/>
              </w:rPr>
              <w:t>0.05L</w:t>
            </w:r>
          </w:p>
        </w:tc>
        <w:tc>
          <w:tcPr>
            <w:tcW w:w="898" w:type="dxa"/>
            <w:vAlign w:val="center"/>
          </w:tcPr>
          <w:p>
            <w:pPr>
              <w:spacing w:line="260" w:lineRule="exact"/>
              <w:ind w:firstLine="420"/>
              <w:jc w:val="center"/>
              <w:rPr>
                <w:rFonts w:cs="Times New Roman"/>
                <w:sz w:val="21"/>
                <w:szCs w:val="21"/>
              </w:rPr>
            </w:pPr>
            <w:r>
              <w:rPr>
                <w:rFonts w:cs="Times New Roman"/>
                <w:sz w:val="21"/>
                <w:szCs w:val="21"/>
              </w:rPr>
              <w:t>Ⅰ</w:t>
            </w:r>
          </w:p>
        </w:tc>
        <w:tc>
          <w:tcPr>
            <w:tcW w:w="2021" w:type="dxa"/>
            <w:vAlign w:val="center"/>
          </w:tcPr>
          <w:p>
            <w:pPr>
              <w:spacing w:line="240" w:lineRule="auto"/>
              <w:ind w:firstLine="420"/>
              <w:jc w:val="center"/>
              <w:rPr>
                <w:rFonts w:cs="Times New Roman"/>
                <w:color w:val="000000"/>
                <w:sz w:val="21"/>
                <w:szCs w:val="21"/>
              </w:rPr>
            </w:pPr>
            <w:r>
              <w:rPr>
                <w:rFonts w:cs="Times New Roman"/>
                <w:sz w:val="21"/>
                <w:szCs w:val="21"/>
              </w:rPr>
              <w:t>≤1.0</w:t>
            </w:r>
          </w:p>
        </w:tc>
        <w:tc>
          <w:tcPr>
            <w:tcW w:w="1427" w:type="dxa"/>
            <w:vMerge w:val="continue"/>
            <w:vAlign w:val="center"/>
          </w:tcPr>
          <w:p>
            <w:pPr>
              <w:spacing w:line="280" w:lineRule="exact"/>
              <w:ind w:firstLine="42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2518" w:type="dxa"/>
            <w:vAlign w:val="center"/>
          </w:tcPr>
          <w:p>
            <w:pPr>
              <w:spacing w:line="280" w:lineRule="exact"/>
              <w:ind w:firstLine="420"/>
              <w:jc w:val="center"/>
              <w:rPr>
                <w:rFonts w:cs="Times New Roman"/>
                <w:sz w:val="21"/>
                <w:szCs w:val="21"/>
              </w:rPr>
            </w:pPr>
            <w:r>
              <w:rPr>
                <w:rFonts w:cs="Times New Roman"/>
                <w:sz w:val="21"/>
                <w:szCs w:val="21"/>
              </w:rPr>
              <w:t>氟化物</w:t>
            </w:r>
          </w:p>
        </w:tc>
        <w:tc>
          <w:tcPr>
            <w:tcW w:w="1658" w:type="dxa"/>
            <w:vAlign w:val="center"/>
          </w:tcPr>
          <w:p>
            <w:pPr>
              <w:spacing w:line="260" w:lineRule="exact"/>
              <w:ind w:firstLine="420"/>
              <w:jc w:val="center"/>
              <w:rPr>
                <w:rFonts w:cs="Times New Roman"/>
                <w:sz w:val="21"/>
                <w:szCs w:val="21"/>
              </w:rPr>
            </w:pPr>
            <w:r>
              <w:rPr>
                <w:rFonts w:cs="Times New Roman"/>
                <w:sz w:val="21"/>
                <w:szCs w:val="21"/>
              </w:rPr>
              <w:t>0.12</w:t>
            </w:r>
          </w:p>
        </w:tc>
        <w:tc>
          <w:tcPr>
            <w:tcW w:w="898" w:type="dxa"/>
            <w:vAlign w:val="center"/>
          </w:tcPr>
          <w:p>
            <w:pPr>
              <w:spacing w:line="260" w:lineRule="exact"/>
              <w:ind w:firstLine="420"/>
              <w:jc w:val="center"/>
              <w:rPr>
                <w:rFonts w:cs="Times New Roman"/>
                <w:sz w:val="21"/>
                <w:szCs w:val="21"/>
              </w:rPr>
            </w:pPr>
            <w:r>
              <w:rPr>
                <w:rFonts w:cs="Times New Roman"/>
                <w:sz w:val="21"/>
                <w:szCs w:val="21"/>
              </w:rPr>
              <w:t>Ⅰ</w:t>
            </w:r>
          </w:p>
        </w:tc>
        <w:tc>
          <w:tcPr>
            <w:tcW w:w="2021" w:type="dxa"/>
            <w:vAlign w:val="center"/>
          </w:tcPr>
          <w:p>
            <w:pPr>
              <w:spacing w:line="240" w:lineRule="auto"/>
              <w:ind w:firstLine="420"/>
              <w:jc w:val="center"/>
              <w:rPr>
                <w:rFonts w:cs="Times New Roman"/>
                <w:color w:val="000000"/>
                <w:sz w:val="21"/>
                <w:szCs w:val="21"/>
              </w:rPr>
            </w:pPr>
            <w:r>
              <w:rPr>
                <w:rFonts w:cs="Times New Roman"/>
                <w:sz w:val="21"/>
                <w:szCs w:val="21"/>
              </w:rPr>
              <w:t>≤1.0</w:t>
            </w:r>
          </w:p>
        </w:tc>
        <w:tc>
          <w:tcPr>
            <w:tcW w:w="1427" w:type="dxa"/>
            <w:vMerge w:val="continue"/>
            <w:vAlign w:val="center"/>
          </w:tcPr>
          <w:p>
            <w:pPr>
              <w:spacing w:line="280" w:lineRule="exact"/>
              <w:ind w:firstLine="42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518" w:type="dxa"/>
            <w:vAlign w:val="center"/>
          </w:tcPr>
          <w:p>
            <w:pPr>
              <w:spacing w:line="280" w:lineRule="exact"/>
              <w:ind w:firstLine="420"/>
              <w:jc w:val="center"/>
              <w:rPr>
                <w:rFonts w:cs="Times New Roman"/>
                <w:sz w:val="21"/>
                <w:szCs w:val="21"/>
              </w:rPr>
            </w:pPr>
            <w:r>
              <w:rPr>
                <w:rFonts w:cs="Times New Roman"/>
                <w:sz w:val="21"/>
                <w:szCs w:val="21"/>
              </w:rPr>
              <w:t>硒</w:t>
            </w:r>
          </w:p>
        </w:tc>
        <w:tc>
          <w:tcPr>
            <w:tcW w:w="1658" w:type="dxa"/>
            <w:vAlign w:val="center"/>
          </w:tcPr>
          <w:p>
            <w:pPr>
              <w:spacing w:line="320" w:lineRule="exact"/>
              <w:ind w:firstLine="420"/>
              <w:jc w:val="center"/>
              <w:rPr>
                <w:rFonts w:cs="Times New Roman"/>
                <w:sz w:val="21"/>
                <w:szCs w:val="21"/>
              </w:rPr>
            </w:pPr>
            <w:r>
              <w:rPr>
                <w:rFonts w:cs="Times New Roman"/>
                <w:sz w:val="21"/>
                <w:szCs w:val="21"/>
              </w:rPr>
              <w:t>0.0004L</w:t>
            </w:r>
          </w:p>
        </w:tc>
        <w:tc>
          <w:tcPr>
            <w:tcW w:w="898" w:type="dxa"/>
            <w:vAlign w:val="center"/>
          </w:tcPr>
          <w:p>
            <w:pPr>
              <w:spacing w:line="320" w:lineRule="exact"/>
              <w:ind w:firstLine="420"/>
              <w:jc w:val="center"/>
              <w:rPr>
                <w:rFonts w:cs="Times New Roman"/>
                <w:sz w:val="21"/>
                <w:szCs w:val="21"/>
              </w:rPr>
            </w:pPr>
            <w:r>
              <w:rPr>
                <w:rFonts w:cs="Times New Roman"/>
                <w:sz w:val="21"/>
                <w:szCs w:val="21"/>
              </w:rPr>
              <w:t>Ⅰ</w:t>
            </w:r>
          </w:p>
        </w:tc>
        <w:tc>
          <w:tcPr>
            <w:tcW w:w="2021" w:type="dxa"/>
            <w:vAlign w:val="center"/>
          </w:tcPr>
          <w:p>
            <w:pPr>
              <w:spacing w:line="240" w:lineRule="auto"/>
              <w:ind w:firstLine="420"/>
              <w:jc w:val="center"/>
              <w:rPr>
                <w:rFonts w:cs="Times New Roman"/>
                <w:color w:val="000000"/>
                <w:sz w:val="21"/>
                <w:szCs w:val="21"/>
              </w:rPr>
            </w:pPr>
            <w:r>
              <w:rPr>
                <w:rFonts w:cs="Times New Roman"/>
                <w:color w:val="000000"/>
                <w:sz w:val="21"/>
                <w:szCs w:val="21"/>
              </w:rPr>
              <w:t>≤0.01</w:t>
            </w:r>
          </w:p>
        </w:tc>
        <w:tc>
          <w:tcPr>
            <w:tcW w:w="1427" w:type="dxa"/>
            <w:vMerge w:val="continue"/>
            <w:vAlign w:val="center"/>
          </w:tcPr>
          <w:p>
            <w:pPr>
              <w:spacing w:line="280" w:lineRule="exact"/>
              <w:ind w:firstLine="42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518" w:type="dxa"/>
            <w:vAlign w:val="center"/>
          </w:tcPr>
          <w:p>
            <w:pPr>
              <w:spacing w:line="280" w:lineRule="exact"/>
              <w:ind w:firstLine="420"/>
              <w:jc w:val="center"/>
              <w:rPr>
                <w:rFonts w:cs="Times New Roman"/>
                <w:sz w:val="21"/>
                <w:szCs w:val="21"/>
              </w:rPr>
            </w:pPr>
            <w:r>
              <w:rPr>
                <w:rFonts w:cs="Times New Roman"/>
                <w:sz w:val="21"/>
                <w:szCs w:val="21"/>
              </w:rPr>
              <w:t>砷</w:t>
            </w:r>
          </w:p>
        </w:tc>
        <w:tc>
          <w:tcPr>
            <w:tcW w:w="1658" w:type="dxa"/>
            <w:vAlign w:val="center"/>
          </w:tcPr>
          <w:p>
            <w:pPr>
              <w:spacing w:line="320" w:lineRule="exact"/>
              <w:ind w:firstLine="420"/>
              <w:jc w:val="center"/>
              <w:rPr>
                <w:rFonts w:cs="Times New Roman"/>
                <w:sz w:val="21"/>
                <w:szCs w:val="21"/>
              </w:rPr>
            </w:pPr>
            <w:r>
              <w:rPr>
                <w:rFonts w:cs="Times New Roman"/>
                <w:sz w:val="21"/>
                <w:szCs w:val="21"/>
              </w:rPr>
              <w:t>0.0003L</w:t>
            </w:r>
          </w:p>
        </w:tc>
        <w:tc>
          <w:tcPr>
            <w:tcW w:w="898" w:type="dxa"/>
            <w:vAlign w:val="center"/>
          </w:tcPr>
          <w:p>
            <w:pPr>
              <w:spacing w:line="320" w:lineRule="exact"/>
              <w:ind w:firstLine="420"/>
              <w:jc w:val="center"/>
              <w:rPr>
                <w:rFonts w:cs="Times New Roman"/>
                <w:sz w:val="21"/>
                <w:szCs w:val="21"/>
              </w:rPr>
            </w:pPr>
            <w:r>
              <w:rPr>
                <w:rFonts w:cs="Times New Roman"/>
                <w:sz w:val="21"/>
                <w:szCs w:val="21"/>
              </w:rPr>
              <w:t>Ⅰ</w:t>
            </w:r>
          </w:p>
        </w:tc>
        <w:tc>
          <w:tcPr>
            <w:tcW w:w="2021" w:type="dxa"/>
            <w:vAlign w:val="center"/>
          </w:tcPr>
          <w:p>
            <w:pPr>
              <w:spacing w:line="240" w:lineRule="auto"/>
              <w:ind w:firstLine="420"/>
              <w:jc w:val="center"/>
              <w:rPr>
                <w:rFonts w:cs="Times New Roman"/>
                <w:color w:val="000000"/>
                <w:sz w:val="21"/>
                <w:szCs w:val="21"/>
              </w:rPr>
            </w:pPr>
            <w:r>
              <w:rPr>
                <w:rFonts w:cs="Times New Roman"/>
                <w:sz w:val="21"/>
                <w:szCs w:val="21"/>
              </w:rPr>
              <w:t>≤0.05</w:t>
            </w:r>
          </w:p>
        </w:tc>
        <w:tc>
          <w:tcPr>
            <w:tcW w:w="1427" w:type="dxa"/>
            <w:vMerge w:val="continue"/>
            <w:vAlign w:val="center"/>
          </w:tcPr>
          <w:p>
            <w:pPr>
              <w:spacing w:line="280" w:lineRule="exact"/>
              <w:ind w:firstLine="42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518" w:type="dxa"/>
            <w:vAlign w:val="center"/>
          </w:tcPr>
          <w:p>
            <w:pPr>
              <w:spacing w:line="280" w:lineRule="exact"/>
              <w:ind w:firstLine="420"/>
              <w:jc w:val="center"/>
              <w:rPr>
                <w:rFonts w:cs="Times New Roman"/>
                <w:sz w:val="21"/>
                <w:szCs w:val="21"/>
              </w:rPr>
            </w:pPr>
            <w:r>
              <w:rPr>
                <w:rFonts w:cs="Times New Roman"/>
                <w:sz w:val="21"/>
                <w:szCs w:val="21"/>
              </w:rPr>
              <w:t>汞</w:t>
            </w:r>
          </w:p>
        </w:tc>
        <w:tc>
          <w:tcPr>
            <w:tcW w:w="1658" w:type="dxa"/>
            <w:vAlign w:val="center"/>
          </w:tcPr>
          <w:p>
            <w:pPr>
              <w:spacing w:line="320" w:lineRule="exact"/>
              <w:ind w:firstLine="420"/>
              <w:jc w:val="center"/>
              <w:rPr>
                <w:rFonts w:cs="Times New Roman"/>
                <w:sz w:val="21"/>
                <w:szCs w:val="21"/>
              </w:rPr>
            </w:pPr>
            <w:r>
              <w:rPr>
                <w:rFonts w:cs="Times New Roman"/>
                <w:sz w:val="21"/>
                <w:szCs w:val="21"/>
              </w:rPr>
              <w:t>0.00004L</w:t>
            </w:r>
          </w:p>
        </w:tc>
        <w:tc>
          <w:tcPr>
            <w:tcW w:w="898" w:type="dxa"/>
            <w:vAlign w:val="center"/>
          </w:tcPr>
          <w:p>
            <w:pPr>
              <w:spacing w:line="320" w:lineRule="exact"/>
              <w:ind w:firstLine="420"/>
              <w:jc w:val="center"/>
              <w:rPr>
                <w:rFonts w:cs="Times New Roman"/>
                <w:sz w:val="21"/>
                <w:szCs w:val="21"/>
              </w:rPr>
            </w:pPr>
            <w:r>
              <w:rPr>
                <w:rFonts w:cs="Times New Roman"/>
                <w:sz w:val="21"/>
                <w:szCs w:val="21"/>
              </w:rPr>
              <w:t>Ⅰ</w:t>
            </w:r>
          </w:p>
        </w:tc>
        <w:tc>
          <w:tcPr>
            <w:tcW w:w="2021" w:type="dxa"/>
            <w:vAlign w:val="center"/>
          </w:tcPr>
          <w:p>
            <w:pPr>
              <w:spacing w:line="240" w:lineRule="auto"/>
              <w:ind w:firstLine="420"/>
              <w:jc w:val="center"/>
              <w:rPr>
                <w:rFonts w:cs="Times New Roman"/>
                <w:color w:val="000000"/>
                <w:sz w:val="21"/>
                <w:szCs w:val="21"/>
              </w:rPr>
            </w:pPr>
            <w:r>
              <w:rPr>
                <w:rFonts w:cs="Times New Roman"/>
                <w:sz w:val="21"/>
                <w:szCs w:val="21"/>
              </w:rPr>
              <w:t>≤0.0001</w:t>
            </w:r>
          </w:p>
        </w:tc>
        <w:tc>
          <w:tcPr>
            <w:tcW w:w="1427" w:type="dxa"/>
            <w:vMerge w:val="continue"/>
            <w:vAlign w:val="center"/>
          </w:tcPr>
          <w:p>
            <w:pPr>
              <w:spacing w:line="280" w:lineRule="exact"/>
              <w:ind w:firstLine="42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2518" w:type="dxa"/>
            <w:vAlign w:val="center"/>
          </w:tcPr>
          <w:p>
            <w:pPr>
              <w:spacing w:line="280" w:lineRule="exact"/>
              <w:ind w:firstLine="420"/>
              <w:jc w:val="center"/>
              <w:rPr>
                <w:rFonts w:cs="Times New Roman"/>
                <w:sz w:val="21"/>
                <w:szCs w:val="21"/>
              </w:rPr>
            </w:pPr>
            <w:r>
              <w:rPr>
                <w:rFonts w:cs="Times New Roman"/>
                <w:sz w:val="21"/>
                <w:szCs w:val="21"/>
              </w:rPr>
              <w:t>镉</w:t>
            </w:r>
          </w:p>
        </w:tc>
        <w:tc>
          <w:tcPr>
            <w:tcW w:w="1658" w:type="dxa"/>
            <w:vAlign w:val="center"/>
          </w:tcPr>
          <w:p>
            <w:pPr>
              <w:spacing w:line="260" w:lineRule="exact"/>
              <w:ind w:firstLine="420"/>
              <w:jc w:val="center"/>
              <w:rPr>
                <w:rFonts w:cs="Times New Roman"/>
                <w:sz w:val="21"/>
                <w:szCs w:val="21"/>
              </w:rPr>
            </w:pPr>
            <w:r>
              <w:rPr>
                <w:rFonts w:cs="Times New Roman"/>
                <w:sz w:val="21"/>
                <w:szCs w:val="21"/>
              </w:rPr>
              <w:t>0.001L</w:t>
            </w:r>
          </w:p>
        </w:tc>
        <w:tc>
          <w:tcPr>
            <w:tcW w:w="898" w:type="dxa"/>
            <w:vAlign w:val="center"/>
          </w:tcPr>
          <w:p>
            <w:pPr>
              <w:spacing w:line="260" w:lineRule="exact"/>
              <w:ind w:firstLine="420"/>
              <w:jc w:val="center"/>
              <w:rPr>
                <w:rFonts w:cs="Times New Roman"/>
                <w:sz w:val="21"/>
                <w:szCs w:val="21"/>
              </w:rPr>
            </w:pPr>
            <w:r>
              <w:rPr>
                <w:rFonts w:cs="Times New Roman"/>
                <w:sz w:val="21"/>
                <w:szCs w:val="21"/>
              </w:rPr>
              <w:t>Ⅰ</w:t>
            </w:r>
          </w:p>
        </w:tc>
        <w:tc>
          <w:tcPr>
            <w:tcW w:w="2021" w:type="dxa"/>
            <w:vAlign w:val="center"/>
          </w:tcPr>
          <w:p>
            <w:pPr>
              <w:spacing w:line="240" w:lineRule="auto"/>
              <w:ind w:firstLine="420"/>
              <w:jc w:val="center"/>
              <w:rPr>
                <w:rFonts w:cs="Times New Roman"/>
                <w:color w:val="000000"/>
                <w:sz w:val="21"/>
                <w:szCs w:val="21"/>
              </w:rPr>
            </w:pPr>
            <w:r>
              <w:rPr>
                <w:rFonts w:cs="Times New Roman"/>
                <w:sz w:val="21"/>
                <w:szCs w:val="21"/>
              </w:rPr>
              <w:t>≤0.005</w:t>
            </w:r>
          </w:p>
        </w:tc>
        <w:tc>
          <w:tcPr>
            <w:tcW w:w="1427" w:type="dxa"/>
            <w:vMerge w:val="continue"/>
            <w:vAlign w:val="center"/>
          </w:tcPr>
          <w:p>
            <w:pPr>
              <w:spacing w:line="280" w:lineRule="exact"/>
              <w:ind w:firstLine="42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2518" w:type="dxa"/>
            <w:vAlign w:val="center"/>
          </w:tcPr>
          <w:p>
            <w:pPr>
              <w:spacing w:line="280" w:lineRule="exact"/>
              <w:ind w:firstLine="420"/>
              <w:jc w:val="center"/>
              <w:rPr>
                <w:rFonts w:cs="Times New Roman"/>
                <w:sz w:val="21"/>
                <w:szCs w:val="21"/>
              </w:rPr>
            </w:pPr>
            <w:r>
              <w:rPr>
                <w:rFonts w:cs="Times New Roman"/>
                <w:sz w:val="21"/>
                <w:szCs w:val="21"/>
              </w:rPr>
              <w:t>六价铬</w:t>
            </w:r>
          </w:p>
        </w:tc>
        <w:tc>
          <w:tcPr>
            <w:tcW w:w="1658" w:type="dxa"/>
            <w:vAlign w:val="center"/>
          </w:tcPr>
          <w:p>
            <w:pPr>
              <w:spacing w:line="260" w:lineRule="exact"/>
              <w:ind w:firstLine="420"/>
              <w:jc w:val="center"/>
              <w:rPr>
                <w:rFonts w:cs="Times New Roman"/>
                <w:sz w:val="21"/>
                <w:szCs w:val="21"/>
              </w:rPr>
            </w:pPr>
            <w:r>
              <w:rPr>
                <w:rFonts w:cs="Times New Roman"/>
                <w:sz w:val="21"/>
                <w:szCs w:val="21"/>
              </w:rPr>
              <w:t>0.004L</w:t>
            </w:r>
          </w:p>
        </w:tc>
        <w:tc>
          <w:tcPr>
            <w:tcW w:w="898" w:type="dxa"/>
            <w:vAlign w:val="center"/>
          </w:tcPr>
          <w:p>
            <w:pPr>
              <w:spacing w:line="260" w:lineRule="exact"/>
              <w:ind w:firstLine="420"/>
              <w:jc w:val="center"/>
              <w:rPr>
                <w:rFonts w:cs="Times New Roman"/>
                <w:sz w:val="21"/>
                <w:szCs w:val="21"/>
              </w:rPr>
            </w:pPr>
            <w:r>
              <w:rPr>
                <w:rFonts w:cs="Times New Roman"/>
                <w:sz w:val="21"/>
                <w:szCs w:val="21"/>
              </w:rPr>
              <w:t>Ⅰ</w:t>
            </w:r>
          </w:p>
        </w:tc>
        <w:tc>
          <w:tcPr>
            <w:tcW w:w="2021" w:type="dxa"/>
            <w:vAlign w:val="center"/>
          </w:tcPr>
          <w:p>
            <w:pPr>
              <w:spacing w:line="240" w:lineRule="auto"/>
              <w:ind w:firstLine="420"/>
              <w:jc w:val="center"/>
              <w:rPr>
                <w:rFonts w:cs="Times New Roman"/>
                <w:color w:val="000000"/>
                <w:sz w:val="21"/>
                <w:szCs w:val="21"/>
              </w:rPr>
            </w:pPr>
            <w:r>
              <w:rPr>
                <w:rFonts w:cs="Times New Roman"/>
                <w:sz w:val="21"/>
                <w:szCs w:val="21"/>
              </w:rPr>
              <w:t>≤0.05</w:t>
            </w:r>
          </w:p>
        </w:tc>
        <w:tc>
          <w:tcPr>
            <w:tcW w:w="1427" w:type="dxa"/>
            <w:vMerge w:val="continue"/>
            <w:vAlign w:val="center"/>
          </w:tcPr>
          <w:p>
            <w:pPr>
              <w:spacing w:line="280" w:lineRule="exact"/>
              <w:ind w:firstLine="42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2518" w:type="dxa"/>
            <w:vAlign w:val="center"/>
          </w:tcPr>
          <w:p>
            <w:pPr>
              <w:spacing w:line="280" w:lineRule="exact"/>
              <w:ind w:firstLine="420"/>
              <w:jc w:val="center"/>
              <w:rPr>
                <w:rFonts w:cs="Times New Roman"/>
                <w:sz w:val="21"/>
                <w:szCs w:val="21"/>
              </w:rPr>
            </w:pPr>
            <w:r>
              <w:rPr>
                <w:rFonts w:cs="Times New Roman"/>
                <w:sz w:val="21"/>
                <w:szCs w:val="21"/>
              </w:rPr>
              <w:t>铅</w:t>
            </w:r>
          </w:p>
        </w:tc>
        <w:tc>
          <w:tcPr>
            <w:tcW w:w="1658" w:type="dxa"/>
            <w:vAlign w:val="center"/>
          </w:tcPr>
          <w:p>
            <w:pPr>
              <w:spacing w:line="260" w:lineRule="exact"/>
              <w:ind w:firstLine="420"/>
              <w:jc w:val="center"/>
              <w:rPr>
                <w:rFonts w:cs="Times New Roman"/>
                <w:sz w:val="21"/>
                <w:szCs w:val="21"/>
              </w:rPr>
            </w:pPr>
            <w:r>
              <w:rPr>
                <w:rFonts w:cs="Times New Roman"/>
                <w:sz w:val="21"/>
                <w:szCs w:val="21"/>
              </w:rPr>
              <w:t>0.01L</w:t>
            </w:r>
          </w:p>
        </w:tc>
        <w:tc>
          <w:tcPr>
            <w:tcW w:w="898" w:type="dxa"/>
            <w:vAlign w:val="center"/>
          </w:tcPr>
          <w:p>
            <w:pPr>
              <w:spacing w:line="260" w:lineRule="exact"/>
              <w:ind w:firstLine="420"/>
              <w:jc w:val="center"/>
              <w:rPr>
                <w:rFonts w:cs="Times New Roman"/>
                <w:sz w:val="21"/>
                <w:szCs w:val="21"/>
              </w:rPr>
            </w:pPr>
            <w:r>
              <w:rPr>
                <w:rFonts w:cs="Times New Roman"/>
                <w:sz w:val="21"/>
                <w:szCs w:val="21"/>
              </w:rPr>
              <w:t>Ⅰ</w:t>
            </w:r>
          </w:p>
        </w:tc>
        <w:tc>
          <w:tcPr>
            <w:tcW w:w="2021" w:type="dxa"/>
            <w:vAlign w:val="center"/>
          </w:tcPr>
          <w:p>
            <w:pPr>
              <w:spacing w:line="240" w:lineRule="auto"/>
              <w:ind w:firstLine="420"/>
              <w:jc w:val="center"/>
              <w:rPr>
                <w:rFonts w:cs="Times New Roman"/>
                <w:sz w:val="21"/>
                <w:szCs w:val="21"/>
              </w:rPr>
            </w:pPr>
            <w:r>
              <w:rPr>
                <w:rFonts w:cs="Times New Roman"/>
                <w:sz w:val="21"/>
                <w:szCs w:val="21"/>
              </w:rPr>
              <w:t>≤0.05</w:t>
            </w:r>
          </w:p>
        </w:tc>
        <w:tc>
          <w:tcPr>
            <w:tcW w:w="1427" w:type="dxa"/>
            <w:vMerge w:val="continue"/>
            <w:vAlign w:val="center"/>
          </w:tcPr>
          <w:p>
            <w:pPr>
              <w:spacing w:line="280" w:lineRule="exact"/>
              <w:ind w:firstLine="42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2518" w:type="dxa"/>
            <w:vAlign w:val="center"/>
          </w:tcPr>
          <w:p>
            <w:pPr>
              <w:spacing w:line="280" w:lineRule="exact"/>
              <w:ind w:firstLine="420"/>
              <w:jc w:val="center"/>
              <w:rPr>
                <w:rFonts w:cs="Times New Roman"/>
                <w:sz w:val="21"/>
                <w:szCs w:val="21"/>
              </w:rPr>
            </w:pPr>
            <w:r>
              <w:rPr>
                <w:rFonts w:cs="Times New Roman"/>
                <w:sz w:val="21"/>
                <w:szCs w:val="21"/>
              </w:rPr>
              <w:t>氰化物</w:t>
            </w:r>
          </w:p>
        </w:tc>
        <w:tc>
          <w:tcPr>
            <w:tcW w:w="1658" w:type="dxa"/>
            <w:vAlign w:val="center"/>
          </w:tcPr>
          <w:p>
            <w:pPr>
              <w:spacing w:line="260" w:lineRule="exact"/>
              <w:ind w:firstLine="420"/>
              <w:jc w:val="center"/>
              <w:rPr>
                <w:rFonts w:cs="Times New Roman"/>
                <w:sz w:val="21"/>
                <w:szCs w:val="21"/>
              </w:rPr>
            </w:pPr>
            <w:r>
              <w:rPr>
                <w:rFonts w:cs="Times New Roman"/>
                <w:sz w:val="21"/>
                <w:szCs w:val="21"/>
              </w:rPr>
              <w:t>0.004L</w:t>
            </w:r>
          </w:p>
        </w:tc>
        <w:tc>
          <w:tcPr>
            <w:tcW w:w="898" w:type="dxa"/>
            <w:vAlign w:val="center"/>
          </w:tcPr>
          <w:p>
            <w:pPr>
              <w:spacing w:line="260" w:lineRule="exact"/>
              <w:ind w:firstLine="420"/>
              <w:jc w:val="center"/>
              <w:rPr>
                <w:rFonts w:cs="Times New Roman"/>
                <w:sz w:val="21"/>
                <w:szCs w:val="21"/>
              </w:rPr>
            </w:pPr>
            <w:r>
              <w:rPr>
                <w:rFonts w:cs="Times New Roman"/>
                <w:sz w:val="21"/>
                <w:szCs w:val="21"/>
              </w:rPr>
              <w:t>Ⅰ</w:t>
            </w:r>
          </w:p>
        </w:tc>
        <w:tc>
          <w:tcPr>
            <w:tcW w:w="2021" w:type="dxa"/>
            <w:vAlign w:val="center"/>
          </w:tcPr>
          <w:p>
            <w:pPr>
              <w:spacing w:line="240" w:lineRule="auto"/>
              <w:ind w:firstLine="420"/>
              <w:jc w:val="center"/>
              <w:rPr>
                <w:rFonts w:cs="Times New Roman"/>
                <w:color w:val="000000"/>
                <w:sz w:val="21"/>
                <w:szCs w:val="21"/>
              </w:rPr>
            </w:pPr>
            <w:r>
              <w:rPr>
                <w:rFonts w:cs="Times New Roman"/>
                <w:sz w:val="21"/>
                <w:szCs w:val="21"/>
              </w:rPr>
              <w:t>≤0.2</w:t>
            </w:r>
          </w:p>
        </w:tc>
        <w:tc>
          <w:tcPr>
            <w:tcW w:w="1427" w:type="dxa"/>
            <w:vMerge w:val="continue"/>
            <w:vAlign w:val="center"/>
          </w:tcPr>
          <w:p>
            <w:pPr>
              <w:spacing w:line="280" w:lineRule="exact"/>
              <w:ind w:firstLine="42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2518" w:type="dxa"/>
            <w:vAlign w:val="center"/>
          </w:tcPr>
          <w:p>
            <w:pPr>
              <w:spacing w:line="280" w:lineRule="exact"/>
              <w:ind w:firstLine="420"/>
              <w:jc w:val="center"/>
              <w:rPr>
                <w:rFonts w:cs="Times New Roman"/>
                <w:sz w:val="21"/>
                <w:szCs w:val="21"/>
              </w:rPr>
            </w:pPr>
            <w:r>
              <w:rPr>
                <w:rFonts w:cs="Times New Roman"/>
                <w:sz w:val="21"/>
                <w:szCs w:val="21"/>
              </w:rPr>
              <w:t>挥发酚</w:t>
            </w:r>
          </w:p>
        </w:tc>
        <w:tc>
          <w:tcPr>
            <w:tcW w:w="1658" w:type="dxa"/>
            <w:vAlign w:val="center"/>
          </w:tcPr>
          <w:p>
            <w:pPr>
              <w:spacing w:line="260" w:lineRule="exact"/>
              <w:ind w:firstLine="420"/>
              <w:jc w:val="center"/>
              <w:rPr>
                <w:rFonts w:cs="Times New Roman"/>
                <w:sz w:val="21"/>
                <w:szCs w:val="21"/>
              </w:rPr>
            </w:pPr>
            <w:r>
              <w:rPr>
                <w:rFonts w:cs="Times New Roman"/>
                <w:sz w:val="21"/>
                <w:szCs w:val="21"/>
              </w:rPr>
              <w:t>0.0006</w:t>
            </w:r>
          </w:p>
        </w:tc>
        <w:tc>
          <w:tcPr>
            <w:tcW w:w="898" w:type="dxa"/>
            <w:vAlign w:val="center"/>
          </w:tcPr>
          <w:p>
            <w:pPr>
              <w:spacing w:line="260" w:lineRule="exact"/>
              <w:ind w:firstLine="420"/>
              <w:jc w:val="center"/>
              <w:rPr>
                <w:rFonts w:cs="Times New Roman"/>
                <w:sz w:val="21"/>
                <w:szCs w:val="21"/>
              </w:rPr>
            </w:pPr>
            <w:r>
              <w:rPr>
                <w:rFonts w:cs="Times New Roman"/>
                <w:sz w:val="21"/>
                <w:szCs w:val="21"/>
              </w:rPr>
              <w:t>Ⅰ</w:t>
            </w:r>
          </w:p>
        </w:tc>
        <w:tc>
          <w:tcPr>
            <w:tcW w:w="2021" w:type="dxa"/>
            <w:vAlign w:val="center"/>
          </w:tcPr>
          <w:p>
            <w:pPr>
              <w:spacing w:line="240" w:lineRule="auto"/>
              <w:ind w:firstLine="420"/>
              <w:jc w:val="center"/>
              <w:rPr>
                <w:rFonts w:cs="Times New Roman"/>
                <w:color w:val="000000"/>
                <w:sz w:val="21"/>
                <w:szCs w:val="21"/>
              </w:rPr>
            </w:pPr>
            <w:r>
              <w:rPr>
                <w:rFonts w:cs="Times New Roman"/>
                <w:sz w:val="21"/>
                <w:szCs w:val="21"/>
              </w:rPr>
              <w:t>≤0.005</w:t>
            </w:r>
          </w:p>
        </w:tc>
        <w:tc>
          <w:tcPr>
            <w:tcW w:w="1427" w:type="dxa"/>
            <w:vMerge w:val="continue"/>
            <w:vAlign w:val="center"/>
          </w:tcPr>
          <w:p>
            <w:pPr>
              <w:spacing w:line="280" w:lineRule="exact"/>
              <w:ind w:firstLine="42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2518" w:type="dxa"/>
            <w:vAlign w:val="center"/>
          </w:tcPr>
          <w:p>
            <w:pPr>
              <w:spacing w:line="280" w:lineRule="exact"/>
              <w:ind w:firstLine="420"/>
              <w:jc w:val="center"/>
              <w:rPr>
                <w:rFonts w:cs="Times New Roman"/>
                <w:sz w:val="21"/>
                <w:szCs w:val="21"/>
              </w:rPr>
            </w:pPr>
            <w:r>
              <w:rPr>
                <w:rFonts w:cs="Times New Roman"/>
                <w:sz w:val="21"/>
                <w:szCs w:val="21"/>
              </w:rPr>
              <w:t>石油类</w:t>
            </w:r>
          </w:p>
        </w:tc>
        <w:tc>
          <w:tcPr>
            <w:tcW w:w="1658" w:type="dxa"/>
            <w:vAlign w:val="center"/>
          </w:tcPr>
          <w:p>
            <w:pPr>
              <w:spacing w:line="260" w:lineRule="exact"/>
              <w:ind w:firstLine="420"/>
              <w:jc w:val="center"/>
              <w:rPr>
                <w:rFonts w:cs="Times New Roman"/>
                <w:sz w:val="21"/>
                <w:szCs w:val="21"/>
              </w:rPr>
            </w:pPr>
            <w:r>
              <w:rPr>
                <w:rFonts w:cs="Times New Roman"/>
                <w:sz w:val="21"/>
                <w:szCs w:val="21"/>
              </w:rPr>
              <w:t>0.01</w:t>
            </w:r>
          </w:p>
        </w:tc>
        <w:tc>
          <w:tcPr>
            <w:tcW w:w="898" w:type="dxa"/>
            <w:vAlign w:val="center"/>
          </w:tcPr>
          <w:p>
            <w:pPr>
              <w:spacing w:line="260" w:lineRule="exact"/>
              <w:ind w:firstLine="420"/>
              <w:jc w:val="center"/>
              <w:rPr>
                <w:rFonts w:cs="Times New Roman"/>
                <w:sz w:val="21"/>
                <w:szCs w:val="21"/>
              </w:rPr>
            </w:pPr>
            <w:r>
              <w:rPr>
                <w:rFonts w:cs="Times New Roman"/>
                <w:sz w:val="21"/>
                <w:szCs w:val="21"/>
              </w:rPr>
              <w:t>Ⅰ</w:t>
            </w:r>
          </w:p>
        </w:tc>
        <w:tc>
          <w:tcPr>
            <w:tcW w:w="2021" w:type="dxa"/>
            <w:vAlign w:val="center"/>
          </w:tcPr>
          <w:p>
            <w:pPr>
              <w:spacing w:line="240" w:lineRule="auto"/>
              <w:ind w:firstLine="420"/>
              <w:jc w:val="center"/>
              <w:rPr>
                <w:rFonts w:cs="Times New Roman"/>
                <w:color w:val="000000"/>
                <w:sz w:val="21"/>
                <w:szCs w:val="21"/>
              </w:rPr>
            </w:pPr>
            <w:r>
              <w:rPr>
                <w:rFonts w:cs="Times New Roman"/>
                <w:sz w:val="21"/>
                <w:szCs w:val="21"/>
              </w:rPr>
              <w:t>≤0.05</w:t>
            </w:r>
          </w:p>
        </w:tc>
        <w:tc>
          <w:tcPr>
            <w:tcW w:w="1427" w:type="dxa"/>
            <w:vMerge w:val="continue"/>
            <w:vAlign w:val="center"/>
          </w:tcPr>
          <w:p>
            <w:pPr>
              <w:spacing w:line="280" w:lineRule="exact"/>
              <w:ind w:firstLine="42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2518" w:type="dxa"/>
            <w:vAlign w:val="center"/>
          </w:tcPr>
          <w:p>
            <w:pPr>
              <w:spacing w:line="280" w:lineRule="exact"/>
              <w:ind w:firstLine="420"/>
              <w:jc w:val="center"/>
              <w:rPr>
                <w:rFonts w:cs="Times New Roman"/>
                <w:sz w:val="21"/>
                <w:szCs w:val="21"/>
              </w:rPr>
            </w:pPr>
            <w:r>
              <w:rPr>
                <w:rFonts w:cs="Times New Roman"/>
                <w:sz w:val="21"/>
                <w:szCs w:val="21"/>
              </w:rPr>
              <w:t>阴离子表面活性剂</w:t>
            </w:r>
          </w:p>
        </w:tc>
        <w:tc>
          <w:tcPr>
            <w:tcW w:w="1658" w:type="dxa"/>
            <w:vAlign w:val="center"/>
          </w:tcPr>
          <w:p>
            <w:pPr>
              <w:spacing w:line="260" w:lineRule="exact"/>
              <w:ind w:firstLine="420"/>
              <w:jc w:val="center"/>
              <w:rPr>
                <w:rFonts w:cs="Times New Roman"/>
                <w:sz w:val="21"/>
                <w:szCs w:val="21"/>
              </w:rPr>
            </w:pPr>
            <w:r>
              <w:rPr>
                <w:rFonts w:cs="Times New Roman"/>
                <w:sz w:val="21"/>
                <w:szCs w:val="21"/>
              </w:rPr>
              <w:t>0.05</w:t>
            </w:r>
          </w:p>
        </w:tc>
        <w:tc>
          <w:tcPr>
            <w:tcW w:w="898" w:type="dxa"/>
            <w:vAlign w:val="center"/>
          </w:tcPr>
          <w:p>
            <w:pPr>
              <w:spacing w:line="260" w:lineRule="exact"/>
              <w:ind w:firstLine="420"/>
              <w:jc w:val="center"/>
              <w:rPr>
                <w:rFonts w:cs="Times New Roman"/>
                <w:sz w:val="21"/>
                <w:szCs w:val="21"/>
              </w:rPr>
            </w:pPr>
            <w:r>
              <w:rPr>
                <w:rFonts w:cs="Times New Roman"/>
                <w:sz w:val="21"/>
                <w:szCs w:val="21"/>
              </w:rPr>
              <w:t>Ⅰ</w:t>
            </w:r>
          </w:p>
        </w:tc>
        <w:tc>
          <w:tcPr>
            <w:tcW w:w="2021" w:type="dxa"/>
            <w:vAlign w:val="center"/>
          </w:tcPr>
          <w:p>
            <w:pPr>
              <w:spacing w:line="240" w:lineRule="auto"/>
              <w:ind w:firstLine="420"/>
              <w:jc w:val="center"/>
              <w:rPr>
                <w:rFonts w:cs="Times New Roman"/>
                <w:color w:val="000000"/>
                <w:sz w:val="21"/>
                <w:szCs w:val="21"/>
              </w:rPr>
            </w:pPr>
            <w:r>
              <w:rPr>
                <w:rFonts w:cs="Times New Roman"/>
                <w:sz w:val="21"/>
                <w:szCs w:val="21"/>
              </w:rPr>
              <w:t>≤0.2</w:t>
            </w:r>
          </w:p>
        </w:tc>
        <w:tc>
          <w:tcPr>
            <w:tcW w:w="1427" w:type="dxa"/>
            <w:vMerge w:val="continue"/>
            <w:vAlign w:val="center"/>
          </w:tcPr>
          <w:p>
            <w:pPr>
              <w:spacing w:line="280" w:lineRule="exact"/>
              <w:ind w:firstLine="42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2518" w:type="dxa"/>
            <w:vAlign w:val="center"/>
          </w:tcPr>
          <w:p>
            <w:pPr>
              <w:spacing w:line="280" w:lineRule="exact"/>
              <w:ind w:firstLine="420"/>
              <w:jc w:val="center"/>
              <w:rPr>
                <w:rFonts w:cs="Times New Roman"/>
                <w:sz w:val="21"/>
                <w:szCs w:val="21"/>
              </w:rPr>
            </w:pPr>
            <w:r>
              <w:rPr>
                <w:rFonts w:cs="Times New Roman"/>
                <w:sz w:val="21"/>
                <w:szCs w:val="21"/>
              </w:rPr>
              <w:t>硫化物</w:t>
            </w:r>
          </w:p>
        </w:tc>
        <w:tc>
          <w:tcPr>
            <w:tcW w:w="1658" w:type="dxa"/>
            <w:vAlign w:val="center"/>
          </w:tcPr>
          <w:p>
            <w:pPr>
              <w:spacing w:line="260" w:lineRule="exact"/>
              <w:ind w:firstLine="420"/>
              <w:jc w:val="center"/>
              <w:rPr>
                <w:rFonts w:cs="Times New Roman"/>
                <w:sz w:val="21"/>
                <w:szCs w:val="21"/>
              </w:rPr>
            </w:pPr>
            <w:r>
              <w:rPr>
                <w:rFonts w:cs="Times New Roman"/>
                <w:sz w:val="21"/>
                <w:szCs w:val="21"/>
              </w:rPr>
              <w:t>0.005L</w:t>
            </w:r>
          </w:p>
        </w:tc>
        <w:tc>
          <w:tcPr>
            <w:tcW w:w="898" w:type="dxa"/>
            <w:vAlign w:val="center"/>
          </w:tcPr>
          <w:p>
            <w:pPr>
              <w:spacing w:line="260" w:lineRule="exact"/>
              <w:ind w:firstLine="420"/>
              <w:jc w:val="center"/>
              <w:rPr>
                <w:rFonts w:cs="Times New Roman"/>
                <w:sz w:val="21"/>
                <w:szCs w:val="21"/>
              </w:rPr>
            </w:pPr>
            <w:r>
              <w:rPr>
                <w:rFonts w:cs="Times New Roman"/>
                <w:sz w:val="21"/>
                <w:szCs w:val="21"/>
              </w:rPr>
              <w:t>Ⅰ</w:t>
            </w:r>
          </w:p>
        </w:tc>
        <w:tc>
          <w:tcPr>
            <w:tcW w:w="2021" w:type="dxa"/>
            <w:vAlign w:val="center"/>
          </w:tcPr>
          <w:p>
            <w:pPr>
              <w:spacing w:line="240" w:lineRule="auto"/>
              <w:ind w:firstLine="420"/>
              <w:jc w:val="center"/>
              <w:rPr>
                <w:rFonts w:cs="Times New Roman"/>
                <w:color w:val="000000"/>
                <w:sz w:val="21"/>
                <w:szCs w:val="21"/>
              </w:rPr>
            </w:pPr>
            <w:r>
              <w:rPr>
                <w:rFonts w:cs="Times New Roman"/>
                <w:sz w:val="21"/>
                <w:szCs w:val="21"/>
              </w:rPr>
              <w:t>≤0.2</w:t>
            </w:r>
          </w:p>
        </w:tc>
        <w:tc>
          <w:tcPr>
            <w:tcW w:w="1427" w:type="dxa"/>
            <w:vMerge w:val="continue"/>
            <w:vAlign w:val="center"/>
          </w:tcPr>
          <w:p>
            <w:pPr>
              <w:spacing w:line="280" w:lineRule="exact"/>
              <w:ind w:firstLine="42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2518" w:type="dxa"/>
            <w:vAlign w:val="center"/>
          </w:tcPr>
          <w:p>
            <w:pPr>
              <w:spacing w:line="280" w:lineRule="exact"/>
              <w:ind w:firstLine="420"/>
              <w:jc w:val="center"/>
              <w:rPr>
                <w:rFonts w:cs="Times New Roman"/>
                <w:sz w:val="21"/>
                <w:szCs w:val="21"/>
              </w:rPr>
            </w:pPr>
            <w:r>
              <w:rPr>
                <w:rFonts w:cs="Times New Roman"/>
                <w:sz w:val="21"/>
                <w:szCs w:val="21"/>
              </w:rPr>
              <w:t>粪大肠菌群</w:t>
            </w:r>
          </w:p>
        </w:tc>
        <w:tc>
          <w:tcPr>
            <w:tcW w:w="1658" w:type="dxa"/>
            <w:vAlign w:val="center"/>
          </w:tcPr>
          <w:p>
            <w:pPr>
              <w:spacing w:line="260" w:lineRule="exact"/>
              <w:ind w:firstLine="420"/>
              <w:jc w:val="center"/>
              <w:rPr>
                <w:rFonts w:cs="Times New Roman"/>
                <w:sz w:val="21"/>
                <w:szCs w:val="21"/>
              </w:rPr>
            </w:pPr>
            <w:r>
              <w:rPr>
                <w:rFonts w:cs="Times New Roman"/>
                <w:sz w:val="21"/>
                <w:szCs w:val="21"/>
              </w:rPr>
              <w:t>201</w:t>
            </w:r>
          </w:p>
        </w:tc>
        <w:tc>
          <w:tcPr>
            <w:tcW w:w="898" w:type="dxa"/>
            <w:vAlign w:val="center"/>
          </w:tcPr>
          <w:p>
            <w:pPr>
              <w:spacing w:line="260" w:lineRule="exact"/>
              <w:ind w:firstLine="420"/>
              <w:jc w:val="center"/>
              <w:rPr>
                <w:rFonts w:cs="Times New Roman"/>
                <w:sz w:val="21"/>
                <w:szCs w:val="21"/>
              </w:rPr>
            </w:pPr>
            <w:r>
              <w:rPr>
                <w:rFonts w:cs="Times New Roman"/>
                <w:sz w:val="21"/>
                <w:szCs w:val="21"/>
              </w:rPr>
              <w:t>Ⅱ</w:t>
            </w:r>
          </w:p>
        </w:tc>
        <w:tc>
          <w:tcPr>
            <w:tcW w:w="2021" w:type="dxa"/>
            <w:vAlign w:val="center"/>
          </w:tcPr>
          <w:p>
            <w:pPr>
              <w:spacing w:line="240" w:lineRule="auto"/>
              <w:ind w:firstLine="420"/>
              <w:jc w:val="center"/>
              <w:rPr>
                <w:rFonts w:cs="Times New Roman"/>
                <w:sz w:val="21"/>
                <w:szCs w:val="21"/>
              </w:rPr>
            </w:pPr>
            <w:r>
              <w:rPr>
                <w:rFonts w:cs="Times New Roman"/>
                <w:sz w:val="21"/>
                <w:szCs w:val="21"/>
              </w:rPr>
              <w:t>≤10000</w:t>
            </w:r>
          </w:p>
        </w:tc>
        <w:tc>
          <w:tcPr>
            <w:tcW w:w="1427" w:type="dxa"/>
            <w:vMerge w:val="continue"/>
            <w:vAlign w:val="center"/>
          </w:tcPr>
          <w:p>
            <w:pPr>
              <w:spacing w:line="280" w:lineRule="exact"/>
              <w:ind w:firstLine="42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2518" w:type="dxa"/>
            <w:vAlign w:val="center"/>
          </w:tcPr>
          <w:p>
            <w:pPr>
              <w:spacing w:line="280" w:lineRule="exact"/>
              <w:ind w:firstLine="420"/>
              <w:jc w:val="center"/>
              <w:rPr>
                <w:rFonts w:cs="Times New Roman"/>
                <w:sz w:val="21"/>
                <w:szCs w:val="21"/>
              </w:rPr>
            </w:pPr>
            <w:r>
              <w:rPr>
                <w:rFonts w:cs="Times New Roman"/>
                <w:sz w:val="21"/>
                <w:szCs w:val="21"/>
              </w:rPr>
              <w:t>硫酸盐</w:t>
            </w:r>
          </w:p>
        </w:tc>
        <w:tc>
          <w:tcPr>
            <w:tcW w:w="1658" w:type="dxa"/>
            <w:vAlign w:val="center"/>
          </w:tcPr>
          <w:p>
            <w:pPr>
              <w:spacing w:line="260" w:lineRule="exact"/>
              <w:ind w:firstLine="420"/>
              <w:jc w:val="center"/>
              <w:rPr>
                <w:rFonts w:cs="Times New Roman"/>
                <w:sz w:val="21"/>
                <w:szCs w:val="21"/>
              </w:rPr>
            </w:pPr>
            <w:r>
              <w:rPr>
                <w:rFonts w:cs="Times New Roman"/>
                <w:sz w:val="21"/>
                <w:szCs w:val="21"/>
              </w:rPr>
              <w:t>8L</w:t>
            </w:r>
          </w:p>
        </w:tc>
        <w:tc>
          <w:tcPr>
            <w:tcW w:w="898" w:type="dxa"/>
            <w:vAlign w:val="center"/>
          </w:tcPr>
          <w:p>
            <w:pPr>
              <w:spacing w:line="240" w:lineRule="auto"/>
              <w:ind w:firstLine="420"/>
              <w:jc w:val="center"/>
              <w:rPr>
                <w:rFonts w:cs="Times New Roman"/>
                <w:sz w:val="21"/>
                <w:szCs w:val="21"/>
              </w:rPr>
            </w:pPr>
            <w:r>
              <w:rPr>
                <w:rFonts w:cs="Times New Roman"/>
                <w:kern w:val="0"/>
                <w:sz w:val="21"/>
                <w:szCs w:val="21"/>
              </w:rPr>
              <w:t>/</w:t>
            </w:r>
          </w:p>
        </w:tc>
        <w:tc>
          <w:tcPr>
            <w:tcW w:w="2021" w:type="dxa"/>
            <w:vAlign w:val="center"/>
          </w:tcPr>
          <w:p>
            <w:pPr>
              <w:spacing w:line="280" w:lineRule="exact"/>
              <w:ind w:firstLine="420"/>
              <w:jc w:val="center"/>
              <w:rPr>
                <w:rFonts w:cs="Times New Roman"/>
                <w:color w:val="000000"/>
                <w:sz w:val="21"/>
                <w:szCs w:val="21"/>
              </w:rPr>
            </w:pPr>
            <w:r>
              <w:rPr>
                <w:rFonts w:cs="Times New Roman"/>
                <w:color w:val="000000"/>
                <w:sz w:val="21"/>
                <w:szCs w:val="21"/>
              </w:rPr>
              <w:t>≤250</w:t>
            </w:r>
          </w:p>
        </w:tc>
        <w:tc>
          <w:tcPr>
            <w:tcW w:w="1427" w:type="dxa"/>
            <w:vMerge w:val="continue"/>
            <w:vAlign w:val="center"/>
          </w:tcPr>
          <w:p>
            <w:pPr>
              <w:spacing w:line="280" w:lineRule="exact"/>
              <w:ind w:firstLine="42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2518" w:type="dxa"/>
            <w:vAlign w:val="center"/>
          </w:tcPr>
          <w:p>
            <w:pPr>
              <w:spacing w:line="280" w:lineRule="exact"/>
              <w:ind w:firstLine="420"/>
              <w:jc w:val="center"/>
              <w:rPr>
                <w:rFonts w:cs="Times New Roman"/>
                <w:sz w:val="21"/>
                <w:szCs w:val="21"/>
              </w:rPr>
            </w:pPr>
            <w:r>
              <w:rPr>
                <w:rFonts w:cs="Times New Roman"/>
                <w:sz w:val="21"/>
                <w:szCs w:val="21"/>
              </w:rPr>
              <w:t>氯化物</w:t>
            </w:r>
          </w:p>
        </w:tc>
        <w:tc>
          <w:tcPr>
            <w:tcW w:w="1658" w:type="dxa"/>
            <w:vAlign w:val="center"/>
          </w:tcPr>
          <w:p>
            <w:pPr>
              <w:spacing w:line="260" w:lineRule="exact"/>
              <w:ind w:firstLine="420"/>
              <w:jc w:val="center"/>
              <w:rPr>
                <w:rFonts w:cs="Times New Roman"/>
                <w:sz w:val="21"/>
                <w:szCs w:val="21"/>
              </w:rPr>
            </w:pPr>
            <w:r>
              <w:rPr>
                <w:rFonts w:cs="Times New Roman"/>
                <w:sz w:val="21"/>
                <w:szCs w:val="21"/>
              </w:rPr>
              <w:t>10L</w:t>
            </w:r>
          </w:p>
        </w:tc>
        <w:tc>
          <w:tcPr>
            <w:tcW w:w="898" w:type="dxa"/>
            <w:vAlign w:val="center"/>
          </w:tcPr>
          <w:p>
            <w:pPr>
              <w:spacing w:line="240" w:lineRule="auto"/>
              <w:ind w:firstLine="420"/>
              <w:jc w:val="center"/>
              <w:rPr>
                <w:rFonts w:cs="Times New Roman"/>
                <w:sz w:val="21"/>
                <w:szCs w:val="21"/>
              </w:rPr>
            </w:pPr>
            <w:r>
              <w:rPr>
                <w:rFonts w:cs="Times New Roman"/>
                <w:kern w:val="0"/>
                <w:sz w:val="21"/>
                <w:szCs w:val="21"/>
              </w:rPr>
              <w:t>/</w:t>
            </w:r>
          </w:p>
        </w:tc>
        <w:tc>
          <w:tcPr>
            <w:tcW w:w="2021" w:type="dxa"/>
            <w:vAlign w:val="center"/>
          </w:tcPr>
          <w:p>
            <w:pPr>
              <w:spacing w:line="280" w:lineRule="exact"/>
              <w:ind w:firstLine="420"/>
              <w:jc w:val="center"/>
              <w:rPr>
                <w:rFonts w:cs="Times New Roman"/>
                <w:color w:val="000000"/>
                <w:sz w:val="21"/>
                <w:szCs w:val="21"/>
              </w:rPr>
            </w:pPr>
            <w:r>
              <w:rPr>
                <w:rFonts w:cs="Times New Roman"/>
                <w:color w:val="000000"/>
                <w:sz w:val="21"/>
                <w:szCs w:val="21"/>
              </w:rPr>
              <w:t>≤250</w:t>
            </w:r>
          </w:p>
        </w:tc>
        <w:tc>
          <w:tcPr>
            <w:tcW w:w="1427" w:type="dxa"/>
            <w:vMerge w:val="continue"/>
            <w:vAlign w:val="center"/>
          </w:tcPr>
          <w:p>
            <w:pPr>
              <w:spacing w:line="280" w:lineRule="exact"/>
              <w:ind w:firstLine="42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2518" w:type="dxa"/>
            <w:vAlign w:val="center"/>
          </w:tcPr>
          <w:p>
            <w:pPr>
              <w:spacing w:line="280" w:lineRule="exact"/>
              <w:ind w:firstLine="420"/>
              <w:jc w:val="center"/>
              <w:rPr>
                <w:rFonts w:cs="Times New Roman"/>
                <w:sz w:val="21"/>
                <w:szCs w:val="21"/>
              </w:rPr>
            </w:pPr>
            <w:r>
              <w:rPr>
                <w:rFonts w:cs="Times New Roman"/>
                <w:sz w:val="21"/>
                <w:szCs w:val="21"/>
              </w:rPr>
              <w:t>硝酸盐氮</w:t>
            </w:r>
          </w:p>
        </w:tc>
        <w:tc>
          <w:tcPr>
            <w:tcW w:w="1658" w:type="dxa"/>
            <w:vAlign w:val="center"/>
          </w:tcPr>
          <w:p>
            <w:pPr>
              <w:spacing w:line="260" w:lineRule="exact"/>
              <w:ind w:firstLine="420"/>
              <w:jc w:val="center"/>
              <w:rPr>
                <w:rFonts w:cs="Times New Roman"/>
                <w:sz w:val="21"/>
                <w:szCs w:val="21"/>
              </w:rPr>
            </w:pPr>
            <w:r>
              <w:rPr>
                <w:rFonts w:cs="Times New Roman"/>
                <w:sz w:val="21"/>
                <w:szCs w:val="21"/>
              </w:rPr>
              <w:t>0.02L</w:t>
            </w:r>
          </w:p>
        </w:tc>
        <w:tc>
          <w:tcPr>
            <w:tcW w:w="898" w:type="dxa"/>
            <w:vAlign w:val="center"/>
          </w:tcPr>
          <w:p>
            <w:pPr>
              <w:spacing w:line="240" w:lineRule="auto"/>
              <w:ind w:firstLine="420"/>
              <w:jc w:val="center"/>
              <w:rPr>
                <w:rFonts w:cs="Times New Roman"/>
                <w:sz w:val="21"/>
                <w:szCs w:val="21"/>
              </w:rPr>
            </w:pPr>
            <w:r>
              <w:rPr>
                <w:rFonts w:cs="Times New Roman"/>
                <w:kern w:val="0"/>
                <w:sz w:val="21"/>
                <w:szCs w:val="21"/>
              </w:rPr>
              <w:t>/</w:t>
            </w:r>
          </w:p>
        </w:tc>
        <w:tc>
          <w:tcPr>
            <w:tcW w:w="2021" w:type="dxa"/>
            <w:vAlign w:val="center"/>
          </w:tcPr>
          <w:p>
            <w:pPr>
              <w:spacing w:line="280" w:lineRule="exact"/>
              <w:ind w:firstLine="420"/>
              <w:jc w:val="center"/>
              <w:rPr>
                <w:rFonts w:cs="Times New Roman"/>
                <w:color w:val="000000"/>
                <w:sz w:val="21"/>
                <w:szCs w:val="21"/>
              </w:rPr>
            </w:pPr>
            <w:r>
              <w:rPr>
                <w:rFonts w:cs="Times New Roman"/>
                <w:color w:val="000000"/>
                <w:sz w:val="21"/>
                <w:szCs w:val="21"/>
              </w:rPr>
              <w:t>≤10</w:t>
            </w:r>
          </w:p>
        </w:tc>
        <w:tc>
          <w:tcPr>
            <w:tcW w:w="1427" w:type="dxa"/>
            <w:vMerge w:val="continue"/>
            <w:vAlign w:val="center"/>
          </w:tcPr>
          <w:p>
            <w:pPr>
              <w:spacing w:line="280" w:lineRule="exact"/>
              <w:ind w:firstLine="42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2518" w:type="dxa"/>
            <w:vAlign w:val="center"/>
          </w:tcPr>
          <w:p>
            <w:pPr>
              <w:spacing w:line="280" w:lineRule="exact"/>
              <w:ind w:firstLine="420"/>
              <w:jc w:val="center"/>
              <w:rPr>
                <w:rFonts w:cs="Times New Roman"/>
                <w:sz w:val="21"/>
                <w:szCs w:val="21"/>
              </w:rPr>
            </w:pPr>
            <w:r>
              <w:rPr>
                <w:rFonts w:cs="Times New Roman"/>
                <w:sz w:val="21"/>
                <w:szCs w:val="21"/>
              </w:rPr>
              <w:t>铁</w:t>
            </w:r>
          </w:p>
        </w:tc>
        <w:tc>
          <w:tcPr>
            <w:tcW w:w="1658" w:type="dxa"/>
            <w:vAlign w:val="center"/>
          </w:tcPr>
          <w:p>
            <w:pPr>
              <w:spacing w:line="260" w:lineRule="exact"/>
              <w:ind w:firstLine="420"/>
              <w:jc w:val="center"/>
              <w:rPr>
                <w:rFonts w:cs="Times New Roman"/>
                <w:sz w:val="21"/>
                <w:szCs w:val="21"/>
              </w:rPr>
            </w:pPr>
            <w:r>
              <w:rPr>
                <w:rFonts w:cs="Times New Roman"/>
                <w:sz w:val="21"/>
                <w:szCs w:val="21"/>
              </w:rPr>
              <w:t>0.04</w:t>
            </w:r>
          </w:p>
        </w:tc>
        <w:tc>
          <w:tcPr>
            <w:tcW w:w="898" w:type="dxa"/>
            <w:vAlign w:val="center"/>
          </w:tcPr>
          <w:p>
            <w:pPr>
              <w:spacing w:line="280" w:lineRule="exact"/>
              <w:ind w:firstLine="420"/>
              <w:jc w:val="center"/>
              <w:rPr>
                <w:rFonts w:cs="Times New Roman"/>
                <w:sz w:val="21"/>
                <w:szCs w:val="21"/>
              </w:rPr>
            </w:pPr>
            <w:r>
              <w:rPr>
                <w:rFonts w:cs="Times New Roman"/>
                <w:kern w:val="0"/>
                <w:sz w:val="21"/>
                <w:szCs w:val="21"/>
              </w:rPr>
              <w:t>/</w:t>
            </w:r>
          </w:p>
        </w:tc>
        <w:tc>
          <w:tcPr>
            <w:tcW w:w="2021" w:type="dxa"/>
            <w:vAlign w:val="center"/>
          </w:tcPr>
          <w:p>
            <w:pPr>
              <w:spacing w:line="280" w:lineRule="exact"/>
              <w:ind w:firstLine="420"/>
              <w:jc w:val="center"/>
              <w:rPr>
                <w:rFonts w:cs="Times New Roman"/>
                <w:color w:val="000000"/>
                <w:sz w:val="21"/>
                <w:szCs w:val="21"/>
              </w:rPr>
            </w:pPr>
            <w:r>
              <w:rPr>
                <w:rFonts w:cs="Times New Roman"/>
                <w:color w:val="000000"/>
                <w:sz w:val="21"/>
                <w:szCs w:val="21"/>
              </w:rPr>
              <w:t>≤0.3</w:t>
            </w:r>
          </w:p>
        </w:tc>
        <w:tc>
          <w:tcPr>
            <w:tcW w:w="1427" w:type="dxa"/>
            <w:vMerge w:val="continue"/>
            <w:vAlign w:val="center"/>
          </w:tcPr>
          <w:p>
            <w:pPr>
              <w:spacing w:line="280" w:lineRule="exact"/>
              <w:ind w:firstLine="42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2518" w:type="dxa"/>
            <w:vAlign w:val="center"/>
          </w:tcPr>
          <w:p>
            <w:pPr>
              <w:spacing w:line="280" w:lineRule="exact"/>
              <w:ind w:firstLine="420"/>
              <w:jc w:val="center"/>
              <w:rPr>
                <w:rFonts w:cs="Times New Roman"/>
                <w:sz w:val="21"/>
                <w:szCs w:val="21"/>
              </w:rPr>
            </w:pPr>
            <w:r>
              <w:rPr>
                <w:rFonts w:cs="Times New Roman"/>
                <w:sz w:val="21"/>
                <w:szCs w:val="21"/>
              </w:rPr>
              <w:t>锰</w:t>
            </w:r>
          </w:p>
        </w:tc>
        <w:tc>
          <w:tcPr>
            <w:tcW w:w="1658" w:type="dxa"/>
            <w:vAlign w:val="center"/>
          </w:tcPr>
          <w:p>
            <w:pPr>
              <w:spacing w:line="260" w:lineRule="exact"/>
              <w:ind w:firstLine="420"/>
              <w:jc w:val="center"/>
              <w:rPr>
                <w:rFonts w:cs="Times New Roman"/>
                <w:sz w:val="21"/>
                <w:szCs w:val="21"/>
              </w:rPr>
            </w:pPr>
            <w:r>
              <w:rPr>
                <w:rFonts w:cs="Times New Roman"/>
                <w:sz w:val="21"/>
                <w:szCs w:val="21"/>
              </w:rPr>
              <w:t>0.02</w:t>
            </w:r>
          </w:p>
        </w:tc>
        <w:tc>
          <w:tcPr>
            <w:tcW w:w="898" w:type="dxa"/>
            <w:vAlign w:val="center"/>
          </w:tcPr>
          <w:p>
            <w:pPr>
              <w:spacing w:line="260" w:lineRule="exact"/>
              <w:ind w:firstLine="420"/>
              <w:jc w:val="center"/>
              <w:rPr>
                <w:rFonts w:cs="Times New Roman"/>
                <w:sz w:val="21"/>
                <w:szCs w:val="21"/>
              </w:rPr>
            </w:pPr>
            <w:r>
              <w:rPr>
                <w:rFonts w:cs="Times New Roman"/>
                <w:kern w:val="0"/>
                <w:sz w:val="21"/>
                <w:szCs w:val="21"/>
              </w:rPr>
              <w:t>/</w:t>
            </w:r>
          </w:p>
        </w:tc>
        <w:tc>
          <w:tcPr>
            <w:tcW w:w="2021" w:type="dxa"/>
            <w:vAlign w:val="center"/>
          </w:tcPr>
          <w:p>
            <w:pPr>
              <w:spacing w:line="280" w:lineRule="exact"/>
              <w:ind w:firstLine="420"/>
              <w:jc w:val="center"/>
              <w:rPr>
                <w:rFonts w:cs="Times New Roman"/>
                <w:color w:val="000000"/>
                <w:sz w:val="21"/>
                <w:szCs w:val="21"/>
              </w:rPr>
            </w:pPr>
            <w:r>
              <w:rPr>
                <w:rFonts w:cs="Times New Roman"/>
                <w:color w:val="000000"/>
                <w:sz w:val="21"/>
                <w:szCs w:val="21"/>
              </w:rPr>
              <w:t>≤0.1</w:t>
            </w:r>
          </w:p>
        </w:tc>
        <w:tc>
          <w:tcPr>
            <w:tcW w:w="1427" w:type="dxa"/>
            <w:vMerge w:val="continue"/>
            <w:vAlign w:val="center"/>
          </w:tcPr>
          <w:p>
            <w:pPr>
              <w:spacing w:line="280" w:lineRule="exact"/>
              <w:ind w:firstLine="42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2518" w:type="dxa"/>
            <w:vAlign w:val="center"/>
          </w:tcPr>
          <w:p>
            <w:pPr>
              <w:spacing w:line="280" w:lineRule="exact"/>
              <w:ind w:firstLine="420"/>
              <w:jc w:val="center"/>
              <w:rPr>
                <w:rFonts w:cs="Times New Roman"/>
                <w:sz w:val="21"/>
                <w:szCs w:val="21"/>
              </w:rPr>
            </w:pPr>
            <w:r>
              <w:rPr>
                <w:rFonts w:cs="Times New Roman"/>
                <w:sz w:val="21"/>
                <w:szCs w:val="21"/>
              </w:rPr>
              <w:t>叶绿素a</w:t>
            </w:r>
          </w:p>
        </w:tc>
        <w:tc>
          <w:tcPr>
            <w:tcW w:w="1658" w:type="dxa"/>
            <w:vAlign w:val="center"/>
          </w:tcPr>
          <w:p>
            <w:pPr>
              <w:spacing w:line="260" w:lineRule="exact"/>
              <w:ind w:firstLine="420"/>
              <w:jc w:val="center"/>
              <w:rPr>
                <w:rFonts w:cs="Times New Roman"/>
                <w:sz w:val="21"/>
                <w:szCs w:val="21"/>
              </w:rPr>
            </w:pPr>
            <w:r>
              <w:rPr>
                <w:rFonts w:cs="Times New Roman"/>
                <w:sz w:val="21"/>
                <w:szCs w:val="21"/>
              </w:rPr>
              <w:t>0.002L</w:t>
            </w:r>
          </w:p>
        </w:tc>
        <w:tc>
          <w:tcPr>
            <w:tcW w:w="898" w:type="dxa"/>
            <w:vAlign w:val="center"/>
          </w:tcPr>
          <w:p>
            <w:pPr>
              <w:spacing w:line="260" w:lineRule="exact"/>
              <w:ind w:firstLine="420"/>
              <w:jc w:val="center"/>
              <w:rPr>
                <w:rFonts w:cs="Times New Roman"/>
                <w:kern w:val="0"/>
                <w:sz w:val="21"/>
                <w:szCs w:val="21"/>
              </w:rPr>
            </w:pPr>
            <w:r>
              <w:rPr>
                <w:rFonts w:cs="Times New Roman"/>
                <w:kern w:val="0"/>
                <w:sz w:val="21"/>
                <w:szCs w:val="21"/>
              </w:rPr>
              <w:t>/</w:t>
            </w:r>
          </w:p>
        </w:tc>
        <w:tc>
          <w:tcPr>
            <w:tcW w:w="2021" w:type="dxa"/>
            <w:vAlign w:val="center"/>
          </w:tcPr>
          <w:p>
            <w:pPr>
              <w:spacing w:line="280" w:lineRule="exact"/>
              <w:ind w:firstLine="420"/>
              <w:jc w:val="center"/>
              <w:rPr>
                <w:rFonts w:cs="Times New Roman"/>
                <w:color w:val="000000"/>
                <w:sz w:val="21"/>
                <w:szCs w:val="21"/>
              </w:rPr>
            </w:pPr>
            <w:r>
              <w:rPr>
                <w:rFonts w:cs="Times New Roman"/>
                <w:color w:val="000000"/>
                <w:sz w:val="21"/>
                <w:szCs w:val="21"/>
              </w:rPr>
              <w:t>/</w:t>
            </w:r>
          </w:p>
        </w:tc>
        <w:tc>
          <w:tcPr>
            <w:tcW w:w="1427" w:type="dxa"/>
            <w:vMerge w:val="continue"/>
            <w:vAlign w:val="center"/>
          </w:tcPr>
          <w:p>
            <w:pPr>
              <w:spacing w:line="280" w:lineRule="exact"/>
              <w:ind w:firstLine="42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2518" w:type="dxa"/>
            <w:vAlign w:val="center"/>
          </w:tcPr>
          <w:p>
            <w:pPr>
              <w:spacing w:line="280" w:lineRule="exact"/>
              <w:ind w:firstLine="420"/>
              <w:jc w:val="center"/>
              <w:rPr>
                <w:rFonts w:cs="Times New Roman"/>
                <w:sz w:val="21"/>
                <w:szCs w:val="21"/>
              </w:rPr>
            </w:pPr>
            <w:r>
              <w:rPr>
                <w:rFonts w:cs="Times New Roman"/>
                <w:sz w:val="21"/>
                <w:szCs w:val="21"/>
              </w:rPr>
              <w:t>透明度</w:t>
            </w:r>
          </w:p>
        </w:tc>
        <w:tc>
          <w:tcPr>
            <w:tcW w:w="1658" w:type="dxa"/>
            <w:vAlign w:val="center"/>
          </w:tcPr>
          <w:p>
            <w:pPr>
              <w:spacing w:line="260" w:lineRule="exact"/>
              <w:ind w:firstLine="420"/>
              <w:jc w:val="center"/>
              <w:rPr>
                <w:rFonts w:cs="Times New Roman"/>
                <w:sz w:val="21"/>
                <w:szCs w:val="21"/>
              </w:rPr>
            </w:pPr>
            <w:r>
              <w:rPr>
                <w:rFonts w:cs="Times New Roman"/>
                <w:sz w:val="21"/>
                <w:szCs w:val="21"/>
              </w:rPr>
              <w:t>155cm</w:t>
            </w:r>
          </w:p>
        </w:tc>
        <w:tc>
          <w:tcPr>
            <w:tcW w:w="898" w:type="dxa"/>
            <w:vAlign w:val="center"/>
          </w:tcPr>
          <w:p>
            <w:pPr>
              <w:spacing w:line="260" w:lineRule="exact"/>
              <w:ind w:firstLine="420"/>
              <w:jc w:val="center"/>
              <w:rPr>
                <w:rFonts w:cs="Times New Roman"/>
                <w:kern w:val="0"/>
                <w:sz w:val="21"/>
                <w:szCs w:val="21"/>
              </w:rPr>
            </w:pPr>
            <w:r>
              <w:rPr>
                <w:rFonts w:cs="Times New Roman"/>
                <w:kern w:val="0"/>
                <w:sz w:val="21"/>
                <w:szCs w:val="21"/>
              </w:rPr>
              <w:t>/</w:t>
            </w:r>
          </w:p>
        </w:tc>
        <w:tc>
          <w:tcPr>
            <w:tcW w:w="2021" w:type="dxa"/>
            <w:vAlign w:val="center"/>
          </w:tcPr>
          <w:p>
            <w:pPr>
              <w:spacing w:line="280" w:lineRule="exact"/>
              <w:ind w:firstLine="420"/>
              <w:jc w:val="center"/>
              <w:rPr>
                <w:rFonts w:cs="Times New Roman"/>
                <w:color w:val="000000"/>
                <w:sz w:val="21"/>
                <w:szCs w:val="21"/>
              </w:rPr>
            </w:pPr>
            <w:r>
              <w:rPr>
                <w:rFonts w:cs="Times New Roman"/>
                <w:color w:val="000000"/>
                <w:sz w:val="21"/>
                <w:szCs w:val="21"/>
              </w:rPr>
              <w:t>/</w:t>
            </w:r>
          </w:p>
        </w:tc>
        <w:tc>
          <w:tcPr>
            <w:tcW w:w="1427" w:type="dxa"/>
            <w:vMerge w:val="continue"/>
            <w:vAlign w:val="center"/>
          </w:tcPr>
          <w:p>
            <w:pPr>
              <w:spacing w:line="280" w:lineRule="exact"/>
              <w:ind w:firstLine="420"/>
              <w:jc w:val="center"/>
              <w:rPr>
                <w:rFonts w:cs="Times New Roman"/>
                <w:sz w:val="21"/>
                <w:szCs w:val="21"/>
              </w:rPr>
            </w:pPr>
          </w:p>
        </w:tc>
      </w:tr>
    </w:tbl>
    <w:p>
      <w:pPr>
        <w:pStyle w:val="4"/>
        <w:spacing w:line="360" w:lineRule="auto"/>
        <w:rPr>
          <w:rFonts w:cs="Times New Roman"/>
        </w:rPr>
      </w:pPr>
      <w:bookmarkStart w:id="85" w:name="_Toc19691443"/>
      <w:bookmarkStart w:id="86" w:name="_Toc13088"/>
      <w:r>
        <w:rPr>
          <w:rFonts w:cs="Times New Roman"/>
        </w:rPr>
        <w:t>3.2  饮用水源地水质评价</w:t>
      </w:r>
      <w:bookmarkEnd w:id="85"/>
      <w:bookmarkEnd w:id="86"/>
    </w:p>
    <w:p>
      <w:pPr>
        <w:ind w:firstLine="480"/>
        <w:rPr>
          <w:rFonts w:cs="Times New Roman"/>
          <w:szCs w:val="24"/>
        </w:rPr>
      </w:pPr>
      <w:r>
        <w:rPr>
          <w:rFonts w:cs="Times New Roman"/>
          <w:szCs w:val="24"/>
        </w:rPr>
        <w:t>本次水源地保护区环境现状调查工作数据来源于2019年</w:t>
      </w:r>
      <w:r>
        <w:rPr>
          <w:rFonts w:hint="eastAsia" w:cs="Times New Roman"/>
          <w:szCs w:val="24"/>
        </w:rPr>
        <w:t>11</w:t>
      </w:r>
      <w:r>
        <w:rPr>
          <w:rFonts w:cs="Times New Roman"/>
          <w:szCs w:val="24"/>
        </w:rPr>
        <w:t>月，</w:t>
      </w:r>
      <w:r>
        <w:rPr>
          <w:rFonts w:hint="eastAsia" w:ascii="宋体" w:hAnsi="宋体"/>
        </w:rPr>
        <w:t>云南蓝硕环境信息咨询有限公司</w:t>
      </w:r>
      <w:r>
        <w:rPr>
          <w:rFonts w:cs="Times New Roman"/>
          <w:szCs w:val="24"/>
        </w:rPr>
        <w:t>对桂花水库的水质检测报告，监测项目共计</w:t>
      </w:r>
      <w:r>
        <w:rPr>
          <w:rFonts w:hint="eastAsia" w:cs="Times New Roman"/>
          <w:szCs w:val="24"/>
        </w:rPr>
        <w:t>34</w:t>
      </w:r>
      <w:r>
        <w:rPr>
          <w:rFonts w:cs="Times New Roman"/>
          <w:szCs w:val="24"/>
        </w:rPr>
        <w:t>项指标，涵盖了《地表水环境质量标准》（GB3838-2002）湖库型饮用水源地所列指标</w:t>
      </w:r>
      <w:r>
        <w:rPr>
          <w:rFonts w:hint="eastAsia" w:cs="Times New Roman"/>
          <w:szCs w:val="24"/>
        </w:rPr>
        <w:t>。</w:t>
      </w:r>
    </w:p>
    <w:p>
      <w:pPr>
        <w:ind w:firstLine="480"/>
        <w:rPr>
          <w:rFonts w:cs="Times New Roman"/>
          <w:szCs w:val="24"/>
        </w:rPr>
      </w:pPr>
      <w:r>
        <w:rPr>
          <w:rFonts w:cs="Times New Roman"/>
          <w:szCs w:val="24"/>
        </w:rPr>
        <w:t>根据《云南省地表水水环境功能区划（2010～2020年）》可知，桂花水库为Ⅲ类水，主要具有工业用水、农业用水、饮用二级、一般鱼类保护等用水功能，选取《地表水环境质量标准》（GB3838-2002）中水质标准进行评价。</w:t>
      </w:r>
    </w:p>
    <w:p>
      <w:pPr>
        <w:ind w:firstLine="600" w:firstLineChars="0"/>
        <w:rPr>
          <w:rFonts w:cs="Times New Roman"/>
          <w:szCs w:val="24"/>
        </w:rPr>
      </w:pPr>
      <w:r>
        <w:rPr>
          <w:rFonts w:cs="Times New Roman"/>
          <w:szCs w:val="24"/>
        </w:rPr>
        <w:t>由表3-</w:t>
      </w:r>
      <w:r>
        <w:rPr>
          <w:rFonts w:hint="eastAsia" w:cs="Times New Roman"/>
          <w:szCs w:val="24"/>
        </w:rPr>
        <w:t>1</w:t>
      </w:r>
      <w:r>
        <w:rPr>
          <w:rFonts w:cs="Times New Roman"/>
          <w:szCs w:val="24"/>
        </w:rPr>
        <w:t>可以看出，桂花水库饮用水源地水质地表水指标均达到《地表水环境质量标准》（GB3838-2002）Ⅲ类水质标准要求</w:t>
      </w:r>
      <w:r>
        <w:rPr>
          <w:rFonts w:hint="eastAsia" w:cs="Times New Roman"/>
          <w:szCs w:val="24"/>
        </w:rPr>
        <w:t>。</w:t>
      </w:r>
      <w:r>
        <w:rPr>
          <w:rFonts w:cs="Times New Roman"/>
          <w:szCs w:val="24"/>
        </w:rPr>
        <w:t>综上所述，桂花水库饮用水源地水质总体良好，均达到饮用水源地水质要求的水质标准。</w:t>
      </w:r>
    </w:p>
    <w:p>
      <w:pPr>
        <w:pStyle w:val="4"/>
        <w:spacing w:line="360" w:lineRule="auto"/>
        <w:rPr>
          <w:rFonts w:cs="Times New Roman"/>
        </w:rPr>
      </w:pPr>
      <w:bookmarkStart w:id="87" w:name="_Toc14770"/>
      <w:r>
        <w:rPr>
          <w:rFonts w:cs="Times New Roman"/>
        </w:rPr>
        <w:t>3.3  饮用水源地周边及上游污染源调查</w:t>
      </w:r>
      <w:bookmarkEnd w:id="87"/>
    </w:p>
    <w:p>
      <w:pPr>
        <w:ind w:firstLine="480"/>
        <w:rPr>
          <w:rFonts w:cs="Times New Roman"/>
        </w:rPr>
      </w:pPr>
      <w:r>
        <w:rPr>
          <w:rFonts w:cs="Times New Roman"/>
          <w:szCs w:val="24"/>
        </w:rPr>
        <w:t>为调查</w:t>
      </w:r>
      <w:r>
        <w:rPr>
          <w:rFonts w:cs="Times New Roman"/>
        </w:rPr>
        <w:t>桂花</w:t>
      </w:r>
      <w:r>
        <w:rPr>
          <w:rFonts w:cs="Times New Roman"/>
          <w:lang w:val="zh-CN"/>
        </w:rPr>
        <w:t>水库</w:t>
      </w:r>
      <w:r>
        <w:rPr>
          <w:rFonts w:cs="Times New Roman"/>
          <w:szCs w:val="24"/>
        </w:rPr>
        <w:t>饮用水水源保护区内污染状况，明确各污染物来源，摸清污染家底，以及对水库水质的影响，编制组在2019年9月对桂花水库开展生态环境及污染源调查。</w:t>
      </w:r>
      <w:r>
        <w:rPr>
          <w:rFonts w:cs="Times New Roman"/>
        </w:rPr>
        <w:t>富源县桂花水库污染现状见附图4。</w:t>
      </w:r>
    </w:p>
    <w:p>
      <w:pPr>
        <w:ind w:firstLine="480"/>
        <w:rPr>
          <w:rFonts w:cs="Times New Roman"/>
          <w:szCs w:val="24"/>
        </w:rPr>
      </w:pPr>
      <w:r>
        <w:rPr>
          <w:rFonts w:cs="Times New Roman"/>
        </w:rPr>
        <w:t>桂花水库上游有一个地下水涌水点（浑水塘）</w:t>
      </w:r>
      <w:r>
        <w:rPr>
          <w:rFonts w:hint="eastAsia" w:cs="Times New Roman"/>
        </w:rPr>
        <w:t>，目前，浑水塘为桂花、对门、小河边和小木桥等自然村取水点。</w:t>
      </w:r>
    </w:p>
    <w:p>
      <w:pPr>
        <w:ind w:firstLine="480"/>
        <w:rPr>
          <w:rFonts w:cs="Times New Roman"/>
        </w:rPr>
      </w:pPr>
      <w:r>
        <w:rPr>
          <w:rFonts w:cs="Times New Roman"/>
          <w:szCs w:val="24"/>
        </w:rPr>
        <w:t>目前，桂花水库周围有道路、</w:t>
      </w:r>
      <w:r>
        <w:rPr>
          <w:rFonts w:cs="Times New Roman"/>
        </w:rPr>
        <w:t>风力发电</w:t>
      </w:r>
      <w:r>
        <w:rPr>
          <w:rFonts w:hint="eastAsia" w:cs="Times New Roman"/>
        </w:rPr>
        <w:t>场、</w:t>
      </w:r>
      <w:r>
        <w:rPr>
          <w:rFonts w:cs="Times New Roman"/>
        </w:rPr>
        <w:t>输电塔和浑水塘林场管理房</w:t>
      </w:r>
      <w:r>
        <w:rPr>
          <w:rFonts w:hint="eastAsia" w:cs="Times New Roman"/>
        </w:rPr>
        <w:t>。</w:t>
      </w:r>
      <w:r>
        <w:rPr>
          <w:rFonts w:cs="Times New Roman"/>
        </w:rPr>
        <w:t>道路</w:t>
      </w:r>
      <w:r>
        <w:rPr>
          <w:rFonts w:hint="eastAsia" w:cs="Times New Roman"/>
        </w:rPr>
        <w:t>为浑水塘林场防火通道，</w:t>
      </w:r>
      <w:r>
        <w:rPr>
          <w:rFonts w:cs="Times New Roman"/>
        </w:rPr>
        <w:t>污染主要来源于下雨天雨水流入水库，风力发电</w:t>
      </w:r>
      <w:r>
        <w:rPr>
          <w:rFonts w:hint="eastAsia" w:cs="Times New Roman"/>
        </w:rPr>
        <w:t>场和</w:t>
      </w:r>
      <w:r>
        <w:rPr>
          <w:rFonts w:cs="Times New Roman"/>
        </w:rPr>
        <w:t>输电塔都没有外排污染物</w:t>
      </w:r>
      <w:r>
        <w:rPr>
          <w:rFonts w:hint="eastAsia" w:cs="Times New Roman"/>
        </w:rPr>
        <w:t>；浑水塘林场管理房在非防火期有1</w:t>
      </w:r>
      <w:r>
        <w:rPr>
          <w:rFonts w:cs="Times New Roman"/>
        </w:rPr>
        <w:t>0</w:t>
      </w:r>
      <w:r>
        <w:rPr>
          <w:rFonts w:hint="eastAsia" w:cs="Times New Roman"/>
        </w:rPr>
        <w:t>人值班，在防火期有2</w:t>
      </w:r>
      <w:r>
        <w:rPr>
          <w:rFonts w:cs="Times New Roman"/>
        </w:rPr>
        <w:t>0</w:t>
      </w:r>
      <w:r>
        <w:rPr>
          <w:rFonts w:hint="eastAsia" w:cs="Times New Roman"/>
        </w:rPr>
        <w:t>人左右值班，管理房不设有食堂，有旱厕一座</w:t>
      </w:r>
      <w:r>
        <w:rPr>
          <w:rFonts w:cs="Times New Roman"/>
        </w:rPr>
        <w:t>。</w:t>
      </w:r>
    </w:p>
    <w:p>
      <w:pPr>
        <w:ind w:firstLine="480"/>
        <w:rPr>
          <w:rFonts w:cs="Times New Roman"/>
          <w:szCs w:val="24"/>
        </w:rPr>
      </w:pPr>
      <w:r>
        <w:rPr>
          <w:rFonts w:cs="Times New Roman"/>
          <w:szCs w:val="24"/>
        </w:rPr>
        <w:t>保护区内污染源主要是农业农村面源污染，面源污染主要是农田固废、农田化肥流失污染等。桂花水库</w:t>
      </w:r>
      <w:r>
        <w:rPr>
          <w:rFonts w:cs="Times New Roman"/>
          <w:szCs w:val="24"/>
          <w:lang w:val="zh-TW" w:eastAsia="zh-TW"/>
        </w:rPr>
        <w:t>水源地周边耕地主要用于种植玉米。取每亩化肥施用量</w:t>
      </w:r>
      <w:r>
        <w:rPr>
          <w:rFonts w:cs="Times New Roman"/>
          <w:szCs w:val="24"/>
        </w:rPr>
        <w:t>38.39 kg。</w:t>
      </w:r>
      <w:r>
        <w:rPr>
          <w:rFonts w:cs="Times New Roman"/>
          <w:szCs w:val="24"/>
          <w:lang w:val="zh-TW" w:eastAsia="zh-TW"/>
        </w:rPr>
        <w:t>按照《全国水环境容量核定技术指南》中推荐，标准农田源强系数为：</w:t>
      </w:r>
      <w:r>
        <w:rPr>
          <w:rFonts w:cs="Times New Roman"/>
          <w:szCs w:val="24"/>
        </w:rPr>
        <w:t xml:space="preserve">COD </w:t>
      </w:r>
      <w:r>
        <w:rPr>
          <w:rFonts w:cs="Times New Roman"/>
          <w:szCs w:val="24"/>
          <w:lang w:val="zh-TW" w:eastAsia="zh-TW"/>
        </w:rPr>
        <w:t xml:space="preserve">10 </w:t>
      </w:r>
      <w:r>
        <w:rPr>
          <w:rFonts w:cs="Times New Roman"/>
          <w:szCs w:val="24"/>
        </w:rPr>
        <w:t>kg/</w:t>
      </w:r>
      <w:r>
        <w:rPr>
          <w:rFonts w:cs="Times New Roman"/>
          <w:szCs w:val="24"/>
          <w:lang w:val="zh-TW" w:eastAsia="zh-TW"/>
        </w:rPr>
        <w:t xml:space="preserve">亩•年，氨氮2 </w:t>
      </w:r>
      <w:r>
        <w:rPr>
          <w:rFonts w:cs="Times New Roman"/>
          <w:szCs w:val="24"/>
        </w:rPr>
        <w:t>kg/</w:t>
      </w:r>
      <w:r>
        <w:rPr>
          <w:rFonts w:cs="Times New Roman"/>
          <w:szCs w:val="24"/>
          <w:lang w:val="zh-TW" w:eastAsia="zh-TW"/>
        </w:rPr>
        <w:t>亩•年。对于非标准农田，根据坡度、农田类型、土壤类型、年降雨量、化肥施用量等对应的源强修正系数进行修正，修正系数见表</w:t>
      </w:r>
      <w:r>
        <w:rPr>
          <w:rFonts w:hint="eastAsia" w:cs="Times New Roman"/>
          <w:szCs w:val="24"/>
        </w:rPr>
        <w:t>3</w:t>
      </w:r>
      <w:r>
        <w:rPr>
          <w:rFonts w:cs="Times New Roman"/>
          <w:szCs w:val="24"/>
        </w:rPr>
        <w:t>-</w:t>
      </w:r>
      <w:r>
        <w:rPr>
          <w:rFonts w:hint="eastAsia" w:cs="Times New Roman"/>
          <w:szCs w:val="24"/>
        </w:rPr>
        <w:t>2</w:t>
      </w:r>
      <w:r>
        <w:rPr>
          <w:rFonts w:cs="Times New Roman"/>
          <w:szCs w:val="24"/>
          <w:lang w:val="zh-TW" w:eastAsia="zh-TW"/>
        </w:rPr>
        <w:t>所示。</w:t>
      </w:r>
    </w:p>
    <w:p>
      <w:pPr>
        <w:framePr w:w="8544" w:wrap="notBeside" w:vAnchor="text" w:hAnchor="text" w:xAlign="center" w:y="1"/>
        <w:ind w:firstLine="482"/>
        <w:jc w:val="center"/>
        <w:rPr>
          <w:rFonts w:cs="Times New Roman"/>
          <w:b/>
          <w:bCs/>
          <w:szCs w:val="24"/>
        </w:rPr>
      </w:pPr>
      <w:r>
        <w:rPr>
          <w:rFonts w:cs="Times New Roman"/>
          <w:b/>
          <w:bCs/>
          <w:szCs w:val="24"/>
          <w:lang w:val="zh-TW" w:eastAsia="zh-TW"/>
        </w:rPr>
        <w:t>表</w:t>
      </w:r>
      <w:r>
        <w:rPr>
          <w:rFonts w:hint="eastAsia" w:cs="Times New Roman"/>
          <w:b/>
          <w:bCs/>
          <w:szCs w:val="24"/>
        </w:rPr>
        <w:t>3</w:t>
      </w:r>
      <w:r>
        <w:rPr>
          <w:rFonts w:cs="Times New Roman"/>
          <w:b/>
          <w:bCs/>
          <w:szCs w:val="24"/>
        </w:rPr>
        <w:t>-</w:t>
      </w:r>
      <w:r>
        <w:rPr>
          <w:rFonts w:hint="eastAsia" w:cs="Times New Roman"/>
          <w:b/>
          <w:bCs/>
          <w:szCs w:val="24"/>
        </w:rPr>
        <w:t>2</w:t>
      </w:r>
      <w:r>
        <w:rPr>
          <w:rFonts w:cs="Times New Roman"/>
          <w:b/>
          <w:bCs/>
          <w:szCs w:val="24"/>
          <w:lang w:val="zh-TW" w:eastAsia="zh-TW"/>
        </w:rPr>
        <w:t>非标准农田产污系数修正值</w:t>
      </w:r>
    </w:p>
    <w:tbl>
      <w:tblPr>
        <w:tblStyle w:val="23"/>
        <w:tblW w:w="8543" w:type="dxa"/>
        <w:jc w:val="center"/>
        <w:tblLayout w:type="fixed"/>
        <w:tblCellMar>
          <w:top w:w="0" w:type="dxa"/>
          <w:left w:w="10" w:type="dxa"/>
          <w:bottom w:w="0" w:type="dxa"/>
          <w:right w:w="10" w:type="dxa"/>
        </w:tblCellMar>
      </w:tblPr>
      <w:tblGrid>
        <w:gridCol w:w="3043"/>
        <w:gridCol w:w="3110"/>
        <w:gridCol w:w="2390"/>
      </w:tblGrid>
      <w:tr>
        <w:tblPrEx>
          <w:tblCellMar>
            <w:top w:w="0" w:type="dxa"/>
            <w:left w:w="10" w:type="dxa"/>
            <w:bottom w:w="0" w:type="dxa"/>
            <w:right w:w="10" w:type="dxa"/>
          </w:tblCellMar>
        </w:tblPrEx>
        <w:trPr>
          <w:trHeight w:val="372" w:hRule="exact"/>
          <w:jc w:val="center"/>
        </w:trPr>
        <w:tc>
          <w:tcPr>
            <w:tcW w:w="3043" w:type="dxa"/>
            <w:tcBorders>
              <w:top w:val="single" w:color="auto" w:sz="4" w:space="0"/>
              <w:left w:val="single" w:color="auto" w:sz="4" w:space="0"/>
            </w:tcBorders>
            <w:shd w:val="clear" w:color="auto" w:fill="auto"/>
          </w:tcPr>
          <w:p>
            <w:pPr>
              <w:framePr w:w="8544" w:wrap="notBeside" w:vAnchor="text" w:hAnchor="text" w:xAlign="center" w:y="1"/>
              <w:ind w:firstLine="420"/>
              <w:rPr>
                <w:rFonts w:cs="Times New Roman"/>
                <w:sz w:val="21"/>
                <w:szCs w:val="21"/>
              </w:rPr>
            </w:pPr>
            <w:r>
              <w:rPr>
                <w:rFonts w:cs="Times New Roman"/>
                <w:sz w:val="21"/>
                <w:szCs w:val="21"/>
                <w:lang w:val="zh-TW" w:eastAsia="zh-TW"/>
              </w:rPr>
              <w:t>主要因素</w:t>
            </w:r>
          </w:p>
        </w:tc>
        <w:tc>
          <w:tcPr>
            <w:tcW w:w="3110" w:type="dxa"/>
            <w:tcBorders>
              <w:top w:val="single" w:color="auto" w:sz="4" w:space="0"/>
              <w:left w:val="single" w:color="auto" w:sz="4" w:space="0"/>
            </w:tcBorders>
            <w:shd w:val="clear" w:color="auto" w:fill="auto"/>
          </w:tcPr>
          <w:p>
            <w:pPr>
              <w:framePr w:w="8544" w:wrap="notBeside" w:vAnchor="text" w:hAnchor="text" w:xAlign="center" w:y="1"/>
              <w:ind w:firstLine="420"/>
              <w:rPr>
                <w:rFonts w:cs="Times New Roman"/>
                <w:sz w:val="21"/>
                <w:szCs w:val="21"/>
              </w:rPr>
            </w:pPr>
            <w:r>
              <w:rPr>
                <w:rFonts w:cs="Times New Roman"/>
                <w:sz w:val="21"/>
                <w:szCs w:val="21"/>
                <w:lang w:val="zh-TW" w:eastAsia="zh-TW"/>
              </w:rPr>
              <w:t>修正类别</w:t>
            </w:r>
          </w:p>
        </w:tc>
        <w:tc>
          <w:tcPr>
            <w:tcW w:w="2390" w:type="dxa"/>
            <w:tcBorders>
              <w:top w:val="single" w:color="auto" w:sz="4" w:space="0"/>
              <w:left w:val="single" w:color="auto" w:sz="4" w:space="0"/>
              <w:right w:val="single" w:color="auto" w:sz="4" w:space="0"/>
            </w:tcBorders>
            <w:shd w:val="clear" w:color="auto" w:fill="auto"/>
          </w:tcPr>
          <w:p>
            <w:pPr>
              <w:framePr w:w="8544" w:wrap="notBeside" w:vAnchor="text" w:hAnchor="text" w:xAlign="center" w:y="1"/>
              <w:ind w:firstLine="420"/>
              <w:rPr>
                <w:rFonts w:cs="Times New Roman"/>
                <w:sz w:val="21"/>
                <w:szCs w:val="21"/>
              </w:rPr>
            </w:pPr>
            <w:r>
              <w:rPr>
                <w:rFonts w:cs="Times New Roman"/>
                <w:sz w:val="21"/>
                <w:szCs w:val="21"/>
                <w:lang w:val="zh-TW" w:eastAsia="zh-TW"/>
              </w:rPr>
              <w:t>修正系数</w:t>
            </w:r>
          </w:p>
        </w:tc>
      </w:tr>
      <w:tr>
        <w:tblPrEx>
          <w:tblCellMar>
            <w:top w:w="0" w:type="dxa"/>
            <w:left w:w="10" w:type="dxa"/>
            <w:bottom w:w="0" w:type="dxa"/>
            <w:right w:w="10" w:type="dxa"/>
          </w:tblCellMar>
        </w:tblPrEx>
        <w:trPr>
          <w:trHeight w:val="386" w:hRule="exact"/>
          <w:jc w:val="center"/>
        </w:trPr>
        <w:tc>
          <w:tcPr>
            <w:tcW w:w="3043" w:type="dxa"/>
            <w:vMerge w:val="restart"/>
            <w:tcBorders>
              <w:top w:val="single" w:color="auto" w:sz="4" w:space="0"/>
              <w:left w:val="single" w:color="auto" w:sz="4" w:space="0"/>
            </w:tcBorders>
            <w:shd w:val="clear" w:color="auto" w:fill="auto"/>
            <w:vAlign w:val="center"/>
          </w:tcPr>
          <w:p>
            <w:pPr>
              <w:framePr w:w="8544" w:wrap="notBeside" w:vAnchor="text" w:hAnchor="text" w:xAlign="center" w:y="1"/>
              <w:ind w:firstLine="420"/>
              <w:rPr>
                <w:rFonts w:cs="Times New Roman"/>
                <w:sz w:val="21"/>
                <w:szCs w:val="21"/>
              </w:rPr>
            </w:pPr>
            <w:r>
              <w:rPr>
                <w:rFonts w:cs="Times New Roman"/>
                <w:sz w:val="21"/>
                <w:szCs w:val="21"/>
                <w:lang w:val="zh-TW" w:eastAsia="zh-TW"/>
              </w:rPr>
              <w:t>坡度</w:t>
            </w:r>
          </w:p>
        </w:tc>
        <w:tc>
          <w:tcPr>
            <w:tcW w:w="3110" w:type="dxa"/>
            <w:tcBorders>
              <w:top w:val="single" w:color="auto" w:sz="4" w:space="0"/>
              <w:left w:val="single" w:color="auto" w:sz="4" w:space="0"/>
            </w:tcBorders>
            <w:shd w:val="clear" w:color="auto" w:fill="auto"/>
          </w:tcPr>
          <w:p>
            <w:pPr>
              <w:framePr w:w="8544" w:wrap="notBeside" w:vAnchor="text" w:hAnchor="text" w:xAlign="center" w:y="1"/>
              <w:ind w:firstLine="420"/>
              <w:rPr>
                <w:rFonts w:cs="Times New Roman"/>
                <w:sz w:val="21"/>
                <w:szCs w:val="21"/>
              </w:rPr>
            </w:pPr>
            <w:r>
              <w:rPr>
                <w:rFonts w:cs="Times New Roman"/>
                <w:sz w:val="21"/>
                <w:szCs w:val="21"/>
                <w:lang w:val="zh-TW" w:eastAsia="zh-TW"/>
              </w:rPr>
              <w:t>&lt;25°</w:t>
            </w:r>
          </w:p>
        </w:tc>
        <w:tc>
          <w:tcPr>
            <w:tcW w:w="2390" w:type="dxa"/>
            <w:tcBorders>
              <w:top w:val="single" w:color="auto" w:sz="4" w:space="0"/>
              <w:left w:val="single" w:color="auto" w:sz="4" w:space="0"/>
              <w:right w:val="single" w:color="auto" w:sz="4" w:space="0"/>
            </w:tcBorders>
            <w:shd w:val="clear" w:color="auto" w:fill="auto"/>
            <w:vAlign w:val="bottom"/>
          </w:tcPr>
          <w:p>
            <w:pPr>
              <w:framePr w:w="8544" w:wrap="notBeside" w:vAnchor="text" w:hAnchor="text" w:xAlign="center" w:y="1"/>
              <w:ind w:firstLine="420"/>
              <w:rPr>
                <w:rFonts w:cs="Times New Roman"/>
                <w:sz w:val="21"/>
                <w:szCs w:val="21"/>
              </w:rPr>
            </w:pPr>
            <w:r>
              <w:rPr>
                <w:rFonts w:cs="Times New Roman"/>
                <w:sz w:val="21"/>
                <w:szCs w:val="21"/>
              </w:rPr>
              <w:t>1.0</w:t>
            </w:r>
          </w:p>
        </w:tc>
      </w:tr>
      <w:tr>
        <w:tblPrEx>
          <w:tblCellMar>
            <w:top w:w="0" w:type="dxa"/>
            <w:left w:w="10" w:type="dxa"/>
            <w:bottom w:w="0" w:type="dxa"/>
            <w:right w:w="10" w:type="dxa"/>
          </w:tblCellMar>
        </w:tblPrEx>
        <w:trPr>
          <w:trHeight w:val="376" w:hRule="exact"/>
          <w:jc w:val="center"/>
        </w:trPr>
        <w:tc>
          <w:tcPr>
            <w:tcW w:w="3043" w:type="dxa"/>
            <w:vMerge w:val="continue"/>
            <w:tcBorders>
              <w:left w:val="single" w:color="auto" w:sz="4" w:space="0"/>
            </w:tcBorders>
            <w:shd w:val="clear" w:color="auto" w:fill="auto"/>
            <w:vAlign w:val="center"/>
          </w:tcPr>
          <w:p>
            <w:pPr>
              <w:framePr w:w="8544" w:wrap="notBeside" w:vAnchor="text" w:hAnchor="text" w:xAlign="center" w:y="1"/>
              <w:ind w:firstLine="420"/>
              <w:rPr>
                <w:rFonts w:cs="Times New Roman"/>
                <w:sz w:val="21"/>
                <w:szCs w:val="21"/>
              </w:rPr>
            </w:pPr>
          </w:p>
        </w:tc>
        <w:tc>
          <w:tcPr>
            <w:tcW w:w="3110" w:type="dxa"/>
            <w:tcBorders>
              <w:top w:val="single" w:color="auto" w:sz="4" w:space="0"/>
              <w:left w:val="single" w:color="auto" w:sz="4" w:space="0"/>
            </w:tcBorders>
            <w:shd w:val="clear" w:color="auto" w:fill="auto"/>
            <w:vAlign w:val="bottom"/>
          </w:tcPr>
          <w:p>
            <w:pPr>
              <w:framePr w:w="8544" w:wrap="notBeside" w:vAnchor="text" w:hAnchor="text" w:xAlign="center" w:y="1"/>
              <w:ind w:firstLine="420"/>
              <w:rPr>
                <w:rFonts w:cs="Times New Roman"/>
                <w:sz w:val="21"/>
                <w:szCs w:val="21"/>
              </w:rPr>
            </w:pPr>
            <w:r>
              <w:rPr>
                <w:rFonts w:cs="Times New Roman"/>
                <w:sz w:val="21"/>
                <w:szCs w:val="21"/>
                <w:lang w:val="zh-TW" w:eastAsia="zh-TW"/>
              </w:rPr>
              <w:t>&gt;25°</w:t>
            </w:r>
          </w:p>
        </w:tc>
        <w:tc>
          <w:tcPr>
            <w:tcW w:w="2390" w:type="dxa"/>
            <w:tcBorders>
              <w:top w:val="single" w:color="auto" w:sz="4" w:space="0"/>
              <w:left w:val="single" w:color="auto" w:sz="4" w:space="0"/>
              <w:right w:val="single" w:color="auto" w:sz="4" w:space="0"/>
            </w:tcBorders>
            <w:shd w:val="clear" w:color="auto" w:fill="auto"/>
            <w:vAlign w:val="bottom"/>
          </w:tcPr>
          <w:p>
            <w:pPr>
              <w:framePr w:w="8544" w:wrap="notBeside" w:vAnchor="text" w:hAnchor="text" w:xAlign="center" w:y="1"/>
              <w:ind w:firstLine="420"/>
              <w:rPr>
                <w:rFonts w:cs="Times New Roman"/>
                <w:sz w:val="21"/>
                <w:szCs w:val="21"/>
              </w:rPr>
            </w:pPr>
            <w:r>
              <w:rPr>
                <w:rFonts w:cs="Times New Roman"/>
                <w:sz w:val="21"/>
                <w:szCs w:val="21"/>
              </w:rPr>
              <w:t xml:space="preserve">1.2 </w:t>
            </w:r>
            <w:r>
              <w:rPr>
                <w:rFonts w:cs="Times New Roman"/>
                <w:sz w:val="21"/>
                <w:szCs w:val="21"/>
                <w:lang w:val="zh-TW" w:eastAsia="zh-TW"/>
              </w:rPr>
              <w:t>〜</w:t>
            </w:r>
            <w:r>
              <w:rPr>
                <w:rFonts w:cs="Times New Roman"/>
                <w:sz w:val="21"/>
                <w:szCs w:val="21"/>
              </w:rPr>
              <w:t>1.5</w:t>
            </w:r>
          </w:p>
        </w:tc>
      </w:tr>
      <w:tr>
        <w:tblPrEx>
          <w:tblCellMar>
            <w:top w:w="0" w:type="dxa"/>
            <w:left w:w="10" w:type="dxa"/>
            <w:bottom w:w="0" w:type="dxa"/>
            <w:right w:w="10" w:type="dxa"/>
          </w:tblCellMar>
        </w:tblPrEx>
        <w:trPr>
          <w:trHeight w:val="409" w:hRule="exact"/>
          <w:jc w:val="center"/>
        </w:trPr>
        <w:tc>
          <w:tcPr>
            <w:tcW w:w="3043" w:type="dxa"/>
            <w:vMerge w:val="restart"/>
            <w:tcBorders>
              <w:top w:val="single" w:color="auto" w:sz="4" w:space="0"/>
              <w:left w:val="single" w:color="auto" w:sz="4" w:space="0"/>
            </w:tcBorders>
            <w:shd w:val="clear" w:color="auto" w:fill="auto"/>
            <w:vAlign w:val="center"/>
          </w:tcPr>
          <w:p>
            <w:pPr>
              <w:framePr w:w="8544" w:wrap="notBeside" w:vAnchor="text" w:hAnchor="text" w:xAlign="center" w:y="1"/>
              <w:ind w:firstLine="420"/>
              <w:rPr>
                <w:rFonts w:cs="Times New Roman"/>
                <w:sz w:val="21"/>
                <w:szCs w:val="21"/>
              </w:rPr>
            </w:pPr>
            <w:r>
              <w:rPr>
                <w:rFonts w:cs="Times New Roman"/>
                <w:sz w:val="21"/>
                <w:szCs w:val="21"/>
                <w:lang w:val="zh-TW" w:eastAsia="zh-TW"/>
              </w:rPr>
              <w:t>农田类型</w:t>
            </w:r>
          </w:p>
        </w:tc>
        <w:tc>
          <w:tcPr>
            <w:tcW w:w="3110" w:type="dxa"/>
            <w:tcBorders>
              <w:top w:val="single" w:color="auto" w:sz="4" w:space="0"/>
              <w:left w:val="single" w:color="auto" w:sz="4" w:space="0"/>
            </w:tcBorders>
            <w:shd w:val="clear" w:color="auto" w:fill="auto"/>
          </w:tcPr>
          <w:p>
            <w:pPr>
              <w:framePr w:w="8544" w:wrap="notBeside" w:vAnchor="text" w:hAnchor="text" w:xAlign="center" w:y="1"/>
              <w:ind w:firstLine="420"/>
              <w:rPr>
                <w:rFonts w:cs="Times New Roman"/>
                <w:sz w:val="21"/>
                <w:szCs w:val="21"/>
              </w:rPr>
            </w:pPr>
            <w:r>
              <w:rPr>
                <w:rFonts w:cs="Times New Roman"/>
                <w:sz w:val="21"/>
                <w:szCs w:val="21"/>
                <w:lang w:val="zh-TW" w:eastAsia="zh-TW"/>
              </w:rPr>
              <w:t>旱地</w:t>
            </w:r>
          </w:p>
        </w:tc>
        <w:tc>
          <w:tcPr>
            <w:tcW w:w="2390" w:type="dxa"/>
            <w:tcBorders>
              <w:top w:val="single" w:color="auto" w:sz="4" w:space="0"/>
              <w:left w:val="single" w:color="auto" w:sz="4" w:space="0"/>
              <w:right w:val="single" w:color="auto" w:sz="4" w:space="0"/>
            </w:tcBorders>
            <w:shd w:val="clear" w:color="auto" w:fill="auto"/>
            <w:vAlign w:val="bottom"/>
          </w:tcPr>
          <w:p>
            <w:pPr>
              <w:framePr w:w="8544" w:wrap="notBeside" w:vAnchor="text" w:hAnchor="text" w:xAlign="center" w:y="1"/>
              <w:ind w:firstLine="420"/>
              <w:rPr>
                <w:rFonts w:cs="Times New Roman"/>
                <w:sz w:val="21"/>
                <w:szCs w:val="21"/>
              </w:rPr>
            </w:pPr>
            <w:r>
              <w:rPr>
                <w:rFonts w:cs="Times New Roman"/>
                <w:sz w:val="21"/>
                <w:szCs w:val="21"/>
              </w:rPr>
              <w:t>1.0</w:t>
            </w:r>
          </w:p>
        </w:tc>
      </w:tr>
      <w:tr>
        <w:tblPrEx>
          <w:tblCellMar>
            <w:top w:w="0" w:type="dxa"/>
            <w:left w:w="10" w:type="dxa"/>
            <w:bottom w:w="0" w:type="dxa"/>
            <w:right w:w="10" w:type="dxa"/>
          </w:tblCellMar>
        </w:tblPrEx>
        <w:trPr>
          <w:trHeight w:val="387" w:hRule="exact"/>
          <w:jc w:val="center"/>
        </w:trPr>
        <w:tc>
          <w:tcPr>
            <w:tcW w:w="3043" w:type="dxa"/>
            <w:vMerge w:val="continue"/>
            <w:tcBorders>
              <w:left w:val="single" w:color="auto" w:sz="4" w:space="0"/>
            </w:tcBorders>
            <w:shd w:val="clear" w:color="auto" w:fill="auto"/>
            <w:vAlign w:val="center"/>
          </w:tcPr>
          <w:p>
            <w:pPr>
              <w:framePr w:w="8544" w:wrap="notBeside" w:vAnchor="text" w:hAnchor="text" w:xAlign="center" w:y="1"/>
              <w:ind w:firstLine="420"/>
              <w:rPr>
                <w:rFonts w:cs="Times New Roman"/>
                <w:sz w:val="21"/>
                <w:szCs w:val="21"/>
              </w:rPr>
            </w:pPr>
          </w:p>
        </w:tc>
        <w:tc>
          <w:tcPr>
            <w:tcW w:w="3110" w:type="dxa"/>
            <w:tcBorders>
              <w:top w:val="single" w:color="auto" w:sz="4" w:space="0"/>
              <w:left w:val="single" w:color="auto" w:sz="4" w:space="0"/>
            </w:tcBorders>
            <w:shd w:val="clear" w:color="auto" w:fill="auto"/>
            <w:vAlign w:val="bottom"/>
          </w:tcPr>
          <w:p>
            <w:pPr>
              <w:framePr w:w="8544" w:wrap="notBeside" w:vAnchor="text" w:hAnchor="text" w:xAlign="center" w:y="1"/>
              <w:ind w:firstLine="420"/>
              <w:rPr>
                <w:rFonts w:cs="Times New Roman"/>
                <w:sz w:val="21"/>
                <w:szCs w:val="21"/>
              </w:rPr>
            </w:pPr>
            <w:r>
              <w:rPr>
                <w:rFonts w:cs="Times New Roman"/>
                <w:sz w:val="21"/>
                <w:szCs w:val="21"/>
                <w:lang w:val="zh-TW" w:eastAsia="zh-TW"/>
              </w:rPr>
              <w:t>水田</w:t>
            </w:r>
          </w:p>
        </w:tc>
        <w:tc>
          <w:tcPr>
            <w:tcW w:w="2390" w:type="dxa"/>
            <w:tcBorders>
              <w:top w:val="single" w:color="auto" w:sz="4" w:space="0"/>
              <w:left w:val="single" w:color="auto" w:sz="4" w:space="0"/>
              <w:right w:val="single" w:color="auto" w:sz="4" w:space="0"/>
            </w:tcBorders>
            <w:shd w:val="clear" w:color="auto" w:fill="auto"/>
            <w:vAlign w:val="bottom"/>
          </w:tcPr>
          <w:p>
            <w:pPr>
              <w:framePr w:w="8544" w:wrap="notBeside" w:vAnchor="text" w:hAnchor="text" w:xAlign="center" w:y="1"/>
              <w:ind w:firstLine="420"/>
              <w:rPr>
                <w:rFonts w:cs="Times New Roman"/>
                <w:sz w:val="21"/>
                <w:szCs w:val="21"/>
              </w:rPr>
            </w:pPr>
            <w:r>
              <w:rPr>
                <w:rFonts w:cs="Times New Roman"/>
                <w:sz w:val="21"/>
                <w:szCs w:val="21"/>
              </w:rPr>
              <w:t>1.5</w:t>
            </w:r>
          </w:p>
        </w:tc>
      </w:tr>
      <w:tr>
        <w:tblPrEx>
          <w:tblCellMar>
            <w:top w:w="0" w:type="dxa"/>
            <w:left w:w="10" w:type="dxa"/>
            <w:bottom w:w="0" w:type="dxa"/>
            <w:right w:w="10" w:type="dxa"/>
          </w:tblCellMar>
        </w:tblPrEx>
        <w:trPr>
          <w:trHeight w:val="377" w:hRule="exact"/>
          <w:jc w:val="center"/>
        </w:trPr>
        <w:tc>
          <w:tcPr>
            <w:tcW w:w="3043" w:type="dxa"/>
            <w:vMerge w:val="continue"/>
            <w:tcBorders>
              <w:left w:val="single" w:color="auto" w:sz="4" w:space="0"/>
            </w:tcBorders>
            <w:shd w:val="clear" w:color="auto" w:fill="auto"/>
            <w:vAlign w:val="center"/>
          </w:tcPr>
          <w:p>
            <w:pPr>
              <w:framePr w:w="8544" w:wrap="notBeside" w:vAnchor="text" w:hAnchor="text" w:xAlign="center" w:y="1"/>
              <w:ind w:firstLine="420"/>
              <w:rPr>
                <w:rFonts w:cs="Times New Roman"/>
                <w:sz w:val="21"/>
                <w:szCs w:val="21"/>
              </w:rPr>
            </w:pPr>
          </w:p>
        </w:tc>
        <w:tc>
          <w:tcPr>
            <w:tcW w:w="3110" w:type="dxa"/>
            <w:tcBorders>
              <w:top w:val="single" w:color="auto" w:sz="4" w:space="0"/>
              <w:left w:val="single" w:color="auto" w:sz="4" w:space="0"/>
            </w:tcBorders>
            <w:shd w:val="clear" w:color="auto" w:fill="auto"/>
            <w:vAlign w:val="bottom"/>
          </w:tcPr>
          <w:p>
            <w:pPr>
              <w:framePr w:w="8544" w:wrap="notBeside" w:vAnchor="text" w:hAnchor="text" w:xAlign="center" w:y="1"/>
              <w:ind w:firstLine="420"/>
              <w:rPr>
                <w:rFonts w:cs="Times New Roman"/>
                <w:sz w:val="21"/>
                <w:szCs w:val="21"/>
              </w:rPr>
            </w:pPr>
            <w:r>
              <w:rPr>
                <w:rFonts w:cs="Times New Roman"/>
                <w:sz w:val="21"/>
                <w:szCs w:val="21"/>
                <w:lang w:val="zh-TW" w:eastAsia="zh-TW"/>
              </w:rPr>
              <w:t>其它</w:t>
            </w:r>
          </w:p>
        </w:tc>
        <w:tc>
          <w:tcPr>
            <w:tcW w:w="2390" w:type="dxa"/>
            <w:tcBorders>
              <w:top w:val="single" w:color="auto" w:sz="4" w:space="0"/>
              <w:left w:val="single" w:color="auto" w:sz="4" w:space="0"/>
              <w:right w:val="single" w:color="auto" w:sz="4" w:space="0"/>
            </w:tcBorders>
            <w:shd w:val="clear" w:color="auto" w:fill="auto"/>
            <w:vAlign w:val="bottom"/>
          </w:tcPr>
          <w:p>
            <w:pPr>
              <w:framePr w:w="8544" w:wrap="notBeside" w:vAnchor="text" w:hAnchor="text" w:xAlign="center" w:y="1"/>
              <w:ind w:firstLine="420"/>
              <w:rPr>
                <w:rFonts w:cs="Times New Roman"/>
                <w:sz w:val="21"/>
                <w:szCs w:val="21"/>
              </w:rPr>
            </w:pPr>
            <w:r>
              <w:rPr>
                <w:rFonts w:cs="Times New Roman"/>
                <w:sz w:val="21"/>
                <w:szCs w:val="21"/>
              </w:rPr>
              <w:t>0.7</w:t>
            </w:r>
          </w:p>
        </w:tc>
      </w:tr>
      <w:tr>
        <w:tblPrEx>
          <w:tblCellMar>
            <w:top w:w="0" w:type="dxa"/>
            <w:left w:w="10" w:type="dxa"/>
            <w:bottom w:w="0" w:type="dxa"/>
            <w:right w:w="10" w:type="dxa"/>
          </w:tblCellMar>
        </w:tblPrEx>
        <w:trPr>
          <w:trHeight w:val="405" w:hRule="exact"/>
          <w:jc w:val="center"/>
        </w:trPr>
        <w:tc>
          <w:tcPr>
            <w:tcW w:w="3043" w:type="dxa"/>
            <w:vMerge w:val="restart"/>
            <w:tcBorders>
              <w:top w:val="single" w:color="auto" w:sz="4" w:space="0"/>
              <w:left w:val="single" w:color="auto" w:sz="4" w:space="0"/>
            </w:tcBorders>
            <w:shd w:val="clear" w:color="auto" w:fill="auto"/>
            <w:vAlign w:val="center"/>
          </w:tcPr>
          <w:p>
            <w:pPr>
              <w:framePr w:w="8544" w:wrap="notBeside" w:vAnchor="text" w:hAnchor="text" w:xAlign="center" w:y="1"/>
              <w:ind w:firstLine="420"/>
              <w:rPr>
                <w:rFonts w:cs="Times New Roman"/>
                <w:sz w:val="21"/>
                <w:szCs w:val="21"/>
              </w:rPr>
            </w:pPr>
            <w:r>
              <w:rPr>
                <w:rFonts w:cs="Times New Roman"/>
                <w:sz w:val="21"/>
                <w:szCs w:val="21"/>
                <w:lang w:val="zh-TW" w:eastAsia="zh-TW"/>
              </w:rPr>
              <w:t>土壤类型</w:t>
            </w:r>
          </w:p>
        </w:tc>
        <w:tc>
          <w:tcPr>
            <w:tcW w:w="3110" w:type="dxa"/>
            <w:tcBorders>
              <w:top w:val="single" w:color="auto" w:sz="4" w:space="0"/>
              <w:left w:val="single" w:color="auto" w:sz="4" w:space="0"/>
            </w:tcBorders>
            <w:shd w:val="clear" w:color="auto" w:fill="auto"/>
          </w:tcPr>
          <w:p>
            <w:pPr>
              <w:framePr w:w="8544" w:wrap="notBeside" w:vAnchor="text" w:hAnchor="text" w:xAlign="center" w:y="1"/>
              <w:ind w:firstLine="420"/>
              <w:rPr>
                <w:rFonts w:cs="Times New Roman"/>
                <w:sz w:val="21"/>
                <w:szCs w:val="21"/>
              </w:rPr>
            </w:pPr>
            <w:r>
              <w:rPr>
                <w:rFonts w:cs="Times New Roman"/>
                <w:sz w:val="21"/>
                <w:szCs w:val="21"/>
                <w:lang w:val="zh-TW" w:eastAsia="zh-TW"/>
              </w:rPr>
              <w:t>砂土</w:t>
            </w:r>
          </w:p>
        </w:tc>
        <w:tc>
          <w:tcPr>
            <w:tcW w:w="2390" w:type="dxa"/>
            <w:tcBorders>
              <w:top w:val="single" w:color="auto" w:sz="4" w:space="0"/>
              <w:left w:val="single" w:color="auto" w:sz="4" w:space="0"/>
              <w:right w:val="single" w:color="auto" w:sz="4" w:space="0"/>
            </w:tcBorders>
            <w:shd w:val="clear" w:color="auto" w:fill="auto"/>
            <w:vAlign w:val="bottom"/>
          </w:tcPr>
          <w:p>
            <w:pPr>
              <w:framePr w:w="8544" w:wrap="notBeside" w:vAnchor="text" w:hAnchor="text" w:xAlign="center" w:y="1"/>
              <w:ind w:firstLine="420"/>
              <w:rPr>
                <w:rFonts w:cs="Times New Roman"/>
                <w:sz w:val="21"/>
                <w:szCs w:val="21"/>
              </w:rPr>
            </w:pPr>
            <w:r>
              <w:rPr>
                <w:rFonts w:cs="Times New Roman"/>
                <w:sz w:val="21"/>
                <w:szCs w:val="21"/>
              </w:rPr>
              <w:t xml:space="preserve">1.0 </w:t>
            </w:r>
            <w:r>
              <w:rPr>
                <w:rFonts w:cs="Times New Roman"/>
                <w:sz w:val="21"/>
                <w:szCs w:val="21"/>
                <w:lang w:val="zh-TW" w:eastAsia="zh-TW"/>
              </w:rPr>
              <w:t>〜</w:t>
            </w:r>
            <w:r>
              <w:rPr>
                <w:rFonts w:cs="Times New Roman"/>
                <w:sz w:val="21"/>
                <w:szCs w:val="21"/>
              </w:rPr>
              <w:t>0.8</w:t>
            </w:r>
          </w:p>
        </w:tc>
      </w:tr>
      <w:tr>
        <w:tblPrEx>
          <w:tblCellMar>
            <w:top w:w="0" w:type="dxa"/>
            <w:left w:w="10" w:type="dxa"/>
            <w:bottom w:w="0" w:type="dxa"/>
            <w:right w:w="10" w:type="dxa"/>
          </w:tblCellMar>
        </w:tblPrEx>
        <w:trPr>
          <w:trHeight w:val="413" w:hRule="exact"/>
          <w:jc w:val="center"/>
        </w:trPr>
        <w:tc>
          <w:tcPr>
            <w:tcW w:w="3043" w:type="dxa"/>
            <w:vMerge w:val="continue"/>
            <w:tcBorders>
              <w:left w:val="single" w:color="auto" w:sz="4" w:space="0"/>
            </w:tcBorders>
            <w:shd w:val="clear" w:color="auto" w:fill="auto"/>
            <w:vAlign w:val="center"/>
          </w:tcPr>
          <w:p>
            <w:pPr>
              <w:framePr w:w="8544" w:wrap="notBeside" w:vAnchor="text" w:hAnchor="text" w:xAlign="center" w:y="1"/>
              <w:ind w:firstLine="420"/>
              <w:rPr>
                <w:rFonts w:cs="Times New Roman"/>
                <w:sz w:val="21"/>
                <w:szCs w:val="21"/>
              </w:rPr>
            </w:pPr>
          </w:p>
        </w:tc>
        <w:tc>
          <w:tcPr>
            <w:tcW w:w="3110" w:type="dxa"/>
            <w:tcBorders>
              <w:top w:val="single" w:color="auto" w:sz="4" w:space="0"/>
              <w:left w:val="single" w:color="auto" w:sz="4" w:space="0"/>
            </w:tcBorders>
            <w:shd w:val="clear" w:color="auto" w:fill="auto"/>
          </w:tcPr>
          <w:p>
            <w:pPr>
              <w:framePr w:w="8544" w:wrap="notBeside" w:vAnchor="text" w:hAnchor="text" w:xAlign="center" w:y="1"/>
              <w:ind w:firstLine="420"/>
              <w:rPr>
                <w:rFonts w:cs="Times New Roman"/>
                <w:sz w:val="21"/>
                <w:szCs w:val="21"/>
              </w:rPr>
            </w:pPr>
            <w:r>
              <w:rPr>
                <w:rFonts w:cs="Times New Roman"/>
                <w:sz w:val="21"/>
                <w:szCs w:val="21"/>
                <w:lang w:val="zh-TW" w:eastAsia="zh-TW"/>
              </w:rPr>
              <w:t>壤土</w:t>
            </w:r>
          </w:p>
        </w:tc>
        <w:tc>
          <w:tcPr>
            <w:tcW w:w="2390" w:type="dxa"/>
            <w:tcBorders>
              <w:top w:val="single" w:color="auto" w:sz="4" w:space="0"/>
              <w:left w:val="single" w:color="auto" w:sz="4" w:space="0"/>
              <w:right w:val="single" w:color="auto" w:sz="4" w:space="0"/>
            </w:tcBorders>
            <w:shd w:val="clear" w:color="auto" w:fill="auto"/>
            <w:vAlign w:val="bottom"/>
          </w:tcPr>
          <w:p>
            <w:pPr>
              <w:framePr w:w="8544" w:wrap="notBeside" w:vAnchor="text" w:hAnchor="text" w:xAlign="center" w:y="1"/>
              <w:ind w:firstLine="420"/>
              <w:rPr>
                <w:rFonts w:cs="Times New Roman"/>
                <w:sz w:val="21"/>
                <w:szCs w:val="21"/>
              </w:rPr>
            </w:pPr>
            <w:r>
              <w:rPr>
                <w:rFonts w:cs="Times New Roman"/>
                <w:sz w:val="21"/>
                <w:szCs w:val="21"/>
              </w:rPr>
              <w:t>1.0</w:t>
            </w:r>
          </w:p>
        </w:tc>
      </w:tr>
      <w:tr>
        <w:tblPrEx>
          <w:tblCellMar>
            <w:top w:w="0" w:type="dxa"/>
            <w:left w:w="10" w:type="dxa"/>
            <w:bottom w:w="0" w:type="dxa"/>
            <w:right w:w="10" w:type="dxa"/>
          </w:tblCellMar>
        </w:tblPrEx>
        <w:trPr>
          <w:trHeight w:val="362" w:hRule="exact"/>
          <w:jc w:val="center"/>
        </w:trPr>
        <w:tc>
          <w:tcPr>
            <w:tcW w:w="3043" w:type="dxa"/>
            <w:vMerge w:val="continue"/>
            <w:tcBorders>
              <w:left w:val="single" w:color="auto" w:sz="4" w:space="0"/>
            </w:tcBorders>
            <w:shd w:val="clear" w:color="auto" w:fill="auto"/>
            <w:vAlign w:val="center"/>
          </w:tcPr>
          <w:p>
            <w:pPr>
              <w:framePr w:w="8544" w:wrap="notBeside" w:vAnchor="text" w:hAnchor="text" w:xAlign="center" w:y="1"/>
              <w:ind w:firstLine="420"/>
              <w:rPr>
                <w:rFonts w:cs="Times New Roman"/>
                <w:sz w:val="21"/>
                <w:szCs w:val="21"/>
              </w:rPr>
            </w:pPr>
          </w:p>
        </w:tc>
        <w:tc>
          <w:tcPr>
            <w:tcW w:w="3110" w:type="dxa"/>
            <w:tcBorders>
              <w:top w:val="single" w:color="auto" w:sz="4" w:space="0"/>
              <w:left w:val="single" w:color="auto" w:sz="4" w:space="0"/>
            </w:tcBorders>
            <w:shd w:val="clear" w:color="auto" w:fill="auto"/>
          </w:tcPr>
          <w:p>
            <w:pPr>
              <w:framePr w:w="8544" w:wrap="notBeside" w:vAnchor="text" w:hAnchor="text" w:xAlign="center" w:y="1"/>
              <w:ind w:firstLine="420"/>
              <w:rPr>
                <w:rFonts w:cs="Times New Roman"/>
                <w:sz w:val="21"/>
                <w:szCs w:val="21"/>
              </w:rPr>
            </w:pPr>
            <w:r>
              <w:rPr>
                <w:rFonts w:cs="Times New Roman"/>
                <w:sz w:val="21"/>
                <w:szCs w:val="21"/>
                <w:lang w:val="zh-TW" w:eastAsia="zh-TW"/>
              </w:rPr>
              <w:t>粘土</w:t>
            </w:r>
          </w:p>
        </w:tc>
        <w:tc>
          <w:tcPr>
            <w:tcW w:w="2390" w:type="dxa"/>
            <w:tcBorders>
              <w:top w:val="single" w:color="auto" w:sz="4" w:space="0"/>
              <w:left w:val="single" w:color="auto" w:sz="4" w:space="0"/>
              <w:right w:val="single" w:color="auto" w:sz="4" w:space="0"/>
            </w:tcBorders>
            <w:shd w:val="clear" w:color="auto" w:fill="auto"/>
            <w:vAlign w:val="bottom"/>
          </w:tcPr>
          <w:p>
            <w:pPr>
              <w:framePr w:w="8544" w:wrap="notBeside" w:vAnchor="text" w:hAnchor="text" w:xAlign="center" w:y="1"/>
              <w:ind w:firstLine="420"/>
              <w:rPr>
                <w:rFonts w:cs="Times New Roman"/>
                <w:sz w:val="21"/>
                <w:szCs w:val="21"/>
              </w:rPr>
            </w:pPr>
            <w:r>
              <w:rPr>
                <w:rFonts w:cs="Times New Roman"/>
                <w:sz w:val="21"/>
                <w:szCs w:val="21"/>
              </w:rPr>
              <w:t xml:space="preserve">0.8 </w:t>
            </w:r>
            <w:r>
              <w:rPr>
                <w:rFonts w:cs="Times New Roman"/>
                <w:sz w:val="21"/>
                <w:szCs w:val="21"/>
                <w:lang w:val="zh-TW" w:eastAsia="zh-TW"/>
              </w:rPr>
              <w:t>〜</w:t>
            </w:r>
            <w:r>
              <w:rPr>
                <w:rFonts w:cs="Times New Roman"/>
                <w:sz w:val="21"/>
                <w:szCs w:val="21"/>
              </w:rPr>
              <w:t>0.6</w:t>
            </w:r>
          </w:p>
        </w:tc>
      </w:tr>
      <w:tr>
        <w:tblPrEx>
          <w:tblCellMar>
            <w:top w:w="0" w:type="dxa"/>
            <w:left w:w="10" w:type="dxa"/>
            <w:bottom w:w="0" w:type="dxa"/>
            <w:right w:w="10" w:type="dxa"/>
          </w:tblCellMar>
        </w:tblPrEx>
        <w:trPr>
          <w:trHeight w:val="388" w:hRule="exact"/>
          <w:jc w:val="center"/>
        </w:trPr>
        <w:tc>
          <w:tcPr>
            <w:tcW w:w="3043" w:type="dxa"/>
            <w:vMerge w:val="restart"/>
            <w:tcBorders>
              <w:top w:val="single" w:color="auto" w:sz="4" w:space="0"/>
              <w:left w:val="single" w:color="auto" w:sz="4" w:space="0"/>
            </w:tcBorders>
            <w:shd w:val="clear" w:color="auto" w:fill="auto"/>
            <w:vAlign w:val="center"/>
          </w:tcPr>
          <w:p>
            <w:pPr>
              <w:framePr w:w="8544" w:wrap="notBeside" w:vAnchor="text" w:hAnchor="text" w:xAlign="center" w:y="1"/>
              <w:ind w:firstLine="420"/>
              <w:rPr>
                <w:rFonts w:cs="Times New Roman"/>
                <w:sz w:val="21"/>
                <w:szCs w:val="21"/>
              </w:rPr>
            </w:pPr>
            <w:r>
              <w:rPr>
                <w:rFonts w:cs="Times New Roman"/>
                <w:sz w:val="21"/>
                <w:szCs w:val="21"/>
                <w:lang w:val="zh-TW" w:eastAsia="zh-TW"/>
              </w:rPr>
              <w:t>化肥施用量</w:t>
            </w:r>
          </w:p>
        </w:tc>
        <w:tc>
          <w:tcPr>
            <w:tcW w:w="3110" w:type="dxa"/>
            <w:tcBorders>
              <w:top w:val="single" w:color="auto" w:sz="4" w:space="0"/>
              <w:left w:val="single" w:color="auto" w:sz="4" w:space="0"/>
            </w:tcBorders>
            <w:shd w:val="clear" w:color="auto" w:fill="auto"/>
            <w:vAlign w:val="bottom"/>
          </w:tcPr>
          <w:p>
            <w:pPr>
              <w:framePr w:w="8544" w:wrap="notBeside" w:vAnchor="text" w:hAnchor="text" w:xAlign="center" w:y="1"/>
              <w:ind w:firstLine="420"/>
              <w:rPr>
                <w:rFonts w:cs="Times New Roman"/>
                <w:sz w:val="21"/>
                <w:szCs w:val="21"/>
              </w:rPr>
            </w:pPr>
            <w:r>
              <w:rPr>
                <w:rFonts w:cs="Times New Roman"/>
                <w:sz w:val="21"/>
                <w:szCs w:val="21"/>
              </w:rPr>
              <w:t>&lt;25kg</w:t>
            </w:r>
          </w:p>
        </w:tc>
        <w:tc>
          <w:tcPr>
            <w:tcW w:w="2390" w:type="dxa"/>
            <w:tcBorders>
              <w:top w:val="single" w:color="auto" w:sz="4" w:space="0"/>
              <w:left w:val="single" w:color="auto" w:sz="4" w:space="0"/>
              <w:right w:val="single" w:color="auto" w:sz="4" w:space="0"/>
            </w:tcBorders>
            <w:shd w:val="clear" w:color="auto" w:fill="auto"/>
            <w:vAlign w:val="bottom"/>
          </w:tcPr>
          <w:p>
            <w:pPr>
              <w:framePr w:w="8544" w:wrap="notBeside" w:vAnchor="text" w:hAnchor="text" w:xAlign="center" w:y="1"/>
              <w:ind w:firstLine="420"/>
              <w:rPr>
                <w:rFonts w:cs="Times New Roman"/>
                <w:sz w:val="21"/>
                <w:szCs w:val="21"/>
              </w:rPr>
            </w:pPr>
            <w:r>
              <w:rPr>
                <w:rFonts w:cs="Times New Roman"/>
                <w:sz w:val="21"/>
                <w:szCs w:val="21"/>
              </w:rPr>
              <w:t xml:space="preserve">0.8 </w:t>
            </w:r>
            <w:r>
              <w:rPr>
                <w:rFonts w:cs="Times New Roman"/>
                <w:sz w:val="21"/>
                <w:szCs w:val="21"/>
                <w:lang w:val="zh-TW" w:eastAsia="zh-TW"/>
              </w:rPr>
              <w:t>〜</w:t>
            </w:r>
            <w:r>
              <w:rPr>
                <w:rFonts w:cs="Times New Roman"/>
                <w:sz w:val="21"/>
                <w:szCs w:val="21"/>
              </w:rPr>
              <w:t>1.0</w:t>
            </w:r>
          </w:p>
        </w:tc>
      </w:tr>
      <w:tr>
        <w:tblPrEx>
          <w:tblCellMar>
            <w:top w:w="0" w:type="dxa"/>
            <w:left w:w="10" w:type="dxa"/>
            <w:bottom w:w="0" w:type="dxa"/>
            <w:right w:w="10" w:type="dxa"/>
          </w:tblCellMar>
        </w:tblPrEx>
        <w:trPr>
          <w:trHeight w:val="382" w:hRule="exact"/>
          <w:jc w:val="center"/>
        </w:trPr>
        <w:tc>
          <w:tcPr>
            <w:tcW w:w="3043" w:type="dxa"/>
            <w:vMerge w:val="continue"/>
            <w:tcBorders>
              <w:left w:val="single" w:color="auto" w:sz="4" w:space="0"/>
            </w:tcBorders>
            <w:shd w:val="clear" w:color="auto" w:fill="auto"/>
            <w:vAlign w:val="center"/>
          </w:tcPr>
          <w:p>
            <w:pPr>
              <w:framePr w:w="8544" w:wrap="notBeside" w:vAnchor="text" w:hAnchor="text" w:xAlign="center" w:y="1"/>
              <w:ind w:firstLine="420"/>
              <w:rPr>
                <w:rFonts w:cs="Times New Roman"/>
                <w:sz w:val="21"/>
                <w:szCs w:val="21"/>
              </w:rPr>
            </w:pPr>
          </w:p>
        </w:tc>
        <w:tc>
          <w:tcPr>
            <w:tcW w:w="3110" w:type="dxa"/>
            <w:tcBorders>
              <w:top w:val="single" w:color="auto" w:sz="4" w:space="0"/>
              <w:left w:val="single" w:color="auto" w:sz="4" w:space="0"/>
            </w:tcBorders>
            <w:shd w:val="clear" w:color="auto" w:fill="auto"/>
            <w:vAlign w:val="bottom"/>
          </w:tcPr>
          <w:p>
            <w:pPr>
              <w:framePr w:w="8544" w:wrap="notBeside" w:vAnchor="text" w:hAnchor="text" w:xAlign="center" w:y="1"/>
              <w:ind w:firstLine="420"/>
              <w:rPr>
                <w:rFonts w:cs="Times New Roman"/>
                <w:sz w:val="21"/>
                <w:szCs w:val="21"/>
              </w:rPr>
            </w:pPr>
            <w:r>
              <w:rPr>
                <w:rFonts w:cs="Times New Roman"/>
                <w:sz w:val="21"/>
                <w:szCs w:val="21"/>
                <w:lang w:val="zh-TW" w:eastAsia="zh-TW"/>
              </w:rPr>
              <w:t>25〜</w:t>
            </w:r>
            <w:r>
              <w:rPr>
                <w:rFonts w:cs="Times New Roman"/>
                <w:sz w:val="21"/>
                <w:szCs w:val="21"/>
              </w:rPr>
              <w:t>35kg</w:t>
            </w:r>
          </w:p>
        </w:tc>
        <w:tc>
          <w:tcPr>
            <w:tcW w:w="2390" w:type="dxa"/>
            <w:tcBorders>
              <w:top w:val="single" w:color="auto" w:sz="4" w:space="0"/>
              <w:left w:val="single" w:color="auto" w:sz="4" w:space="0"/>
              <w:right w:val="single" w:color="auto" w:sz="4" w:space="0"/>
            </w:tcBorders>
            <w:shd w:val="clear" w:color="auto" w:fill="auto"/>
            <w:vAlign w:val="bottom"/>
          </w:tcPr>
          <w:p>
            <w:pPr>
              <w:framePr w:w="8544" w:wrap="notBeside" w:vAnchor="text" w:hAnchor="text" w:xAlign="center" w:y="1"/>
              <w:ind w:firstLine="420"/>
              <w:rPr>
                <w:rFonts w:cs="Times New Roman"/>
                <w:sz w:val="21"/>
                <w:szCs w:val="21"/>
              </w:rPr>
            </w:pPr>
            <w:r>
              <w:rPr>
                <w:rFonts w:cs="Times New Roman"/>
                <w:sz w:val="21"/>
                <w:szCs w:val="21"/>
              </w:rPr>
              <w:t xml:space="preserve">1.0 </w:t>
            </w:r>
            <w:r>
              <w:rPr>
                <w:rFonts w:cs="Times New Roman"/>
                <w:sz w:val="21"/>
                <w:szCs w:val="21"/>
                <w:lang w:val="zh-TW" w:eastAsia="zh-TW"/>
              </w:rPr>
              <w:t>〜</w:t>
            </w:r>
            <w:r>
              <w:rPr>
                <w:rFonts w:cs="Times New Roman"/>
                <w:sz w:val="21"/>
                <w:szCs w:val="21"/>
              </w:rPr>
              <w:t>1.2</w:t>
            </w:r>
          </w:p>
        </w:tc>
      </w:tr>
      <w:tr>
        <w:tblPrEx>
          <w:tblCellMar>
            <w:top w:w="0" w:type="dxa"/>
            <w:left w:w="10" w:type="dxa"/>
            <w:bottom w:w="0" w:type="dxa"/>
            <w:right w:w="10" w:type="dxa"/>
          </w:tblCellMar>
        </w:tblPrEx>
        <w:trPr>
          <w:trHeight w:val="419" w:hRule="exact"/>
          <w:jc w:val="center"/>
        </w:trPr>
        <w:tc>
          <w:tcPr>
            <w:tcW w:w="3043" w:type="dxa"/>
            <w:vMerge w:val="continue"/>
            <w:tcBorders>
              <w:left w:val="single" w:color="auto" w:sz="4" w:space="0"/>
            </w:tcBorders>
            <w:shd w:val="clear" w:color="auto" w:fill="auto"/>
            <w:vAlign w:val="center"/>
          </w:tcPr>
          <w:p>
            <w:pPr>
              <w:framePr w:w="8544" w:wrap="notBeside" w:vAnchor="text" w:hAnchor="text" w:xAlign="center" w:y="1"/>
              <w:ind w:firstLine="420"/>
              <w:rPr>
                <w:rFonts w:cs="Times New Roman"/>
                <w:sz w:val="21"/>
                <w:szCs w:val="21"/>
              </w:rPr>
            </w:pPr>
          </w:p>
        </w:tc>
        <w:tc>
          <w:tcPr>
            <w:tcW w:w="3110" w:type="dxa"/>
            <w:tcBorders>
              <w:top w:val="single" w:color="auto" w:sz="4" w:space="0"/>
              <w:left w:val="single" w:color="auto" w:sz="4" w:space="0"/>
            </w:tcBorders>
            <w:shd w:val="clear" w:color="auto" w:fill="auto"/>
            <w:vAlign w:val="bottom"/>
          </w:tcPr>
          <w:p>
            <w:pPr>
              <w:framePr w:w="8544" w:wrap="notBeside" w:vAnchor="text" w:hAnchor="text" w:xAlign="center" w:y="1"/>
              <w:ind w:firstLine="420"/>
              <w:rPr>
                <w:rFonts w:cs="Times New Roman"/>
                <w:sz w:val="21"/>
                <w:szCs w:val="21"/>
              </w:rPr>
            </w:pPr>
            <w:r>
              <w:rPr>
                <w:rFonts w:cs="Times New Roman"/>
                <w:sz w:val="21"/>
                <w:szCs w:val="21"/>
              </w:rPr>
              <w:t>&gt;35kg</w:t>
            </w:r>
          </w:p>
        </w:tc>
        <w:tc>
          <w:tcPr>
            <w:tcW w:w="2390" w:type="dxa"/>
            <w:tcBorders>
              <w:top w:val="single" w:color="auto" w:sz="4" w:space="0"/>
              <w:left w:val="single" w:color="auto" w:sz="4" w:space="0"/>
              <w:right w:val="single" w:color="auto" w:sz="4" w:space="0"/>
            </w:tcBorders>
            <w:shd w:val="clear" w:color="auto" w:fill="auto"/>
            <w:vAlign w:val="bottom"/>
          </w:tcPr>
          <w:p>
            <w:pPr>
              <w:framePr w:w="8544" w:wrap="notBeside" w:vAnchor="text" w:hAnchor="text" w:xAlign="center" w:y="1"/>
              <w:ind w:firstLine="420"/>
              <w:rPr>
                <w:rFonts w:cs="Times New Roman"/>
                <w:sz w:val="21"/>
                <w:szCs w:val="21"/>
              </w:rPr>
            </w:pPr>
            <w:r>
              <w:rPr>
                <w:rFonts w:cs="Times New Roman"/>
                <w:sz w:val="21"/>
                <w:szCs w:val="21"/>
              </w:rPr>
              <w:t xml:space="preserve">1.2 </w:t>
            </w:r>
            <w:r>
              <w:rPr>
                <w:rFonts w:cs="Times New Roman"/>
                <w:sz w:val="21"/>
                <w:szCs w:val="21"/>
                <w:lang w:val="zh-TW" w:eastAsia="zh-TW"/>
              </w:rPr>
              <w:t>〜</w:t>
            </w:r>
            <w:r>
              <w:rPr>
                <w:rFonts w:cs="Times New Roman"/>
                <w:sz w:val="21"/>
                <w:szCs w:val="21"/>
              </w:rPr>
              <w:t>1.5</w:t>
            </w:r>
          </w:p>
        </w:tc>
      </w:tr>
      <w:tr>
        <w:tblPrEx>
          <w:tblCellMar>
            <w:top w:w="0" w:type="dxa"/>
            <w:left w:w="10" w:type="dxa"/>
            <w:bottom w:w="0" w:type="dxa"/>
            <w:right w:w="10" w:type="dxa"/>
          </w:tblCellMar>
        </w:tblPrEx>
        <w:trPr>
          <w:trHeight w:val="400" w:hRule="exact"/>
          <w:jc w:val="center"/>
        </w:trPr>
        <w:tc>
          <w:tcPr>
            <w:tcW w:w="3043" w:type="dxa"/>
            <w:vMerge w:val="restart"/>
            <w:tcBorders>
              <w:top w:val="single" w:color="auto" w:sz="4" w:space="0"/>
              <w:left w:val="single" w:color="auto" w:sz="4" w:space="0"/>
            </w:tcBorders>
            <w:shd w:val="clear" w:color="auto" w:fill="auto"/>
            <w:vAlign w:val="center"/>
          </w:tcPr>
          <w:p>
            <w:pPr>
              <w:framePr w:w="8544" w:wrap="notBeside" w:vAnchor="text" w:hAnchor="text" w:xAlign="center" w:y="1"/>
              <w:ind w:firstLine="420"/>
              <w:rPr>
                <w:rFonts w:cs="Times New Roman"/>
                <w:sz w:val="21"/>
                <w:szCs w:val="21"/>
              </w:rPr>
            </w:pPr>
            <w:r>
              <w:rPr>
                <w:rFonts w:cs="Times New Roman"/>
                <w:sz w:val="21"/>
                <w:szCs w:val="21"/>
                <w:lang w:val="zh-TW" w:eastAsia="zh-TW"/>
              </w:rPr>
              <w:t>降水量</w:t>
            </w:r>
          </w:p>
        </w:tc>
        <w:tc>
          <w:tcPr>
            <w:tcW w:w="3110" w:type="dxa"/>
            <w:tcBorders>
              <w:top w:val="single" w:color="auto" w:sz="4" w:space="0"/>
              <w:left w:val="single" w:color="auto" w:sz="4" w:space="0"/>
            </w:tcBorders>
            <w:shd w:val="clear" w:color="auto" w:fill="auto"/>
            <w:vAlign w:val="bottom"/>
          </w:tcPr>
          <w:p>
            <w:pPr>
              <w:framePr w:w="8544" w:wrap="notBeside" w:vAnchor="text" w:hAnchor="text" w:xAlign="center" w:y="1"/>
              <w:ind w:firstLine="420"/>
              <w:rPr>
                <w:rFonts w:cs="Times New Roman"/>
                <w:sz w:val="21"/>
                <w:szCs w:val="21"/>
              </w:rPr>
            </w:pPr>
            <w:r>
              <w:rPr>
                <w:rFonts w:cs="Times New Roman"/>
                <w:sz w:val="21"/>
                <w:szCs w:val="21"/>
              </w:rPr>
              <w:t>&lt;400mm</w:t>
            </w:r>
          </w:p>
        </w:tc>
        <w:tc>
          <w:tcPr>
            <w:tcW w:w="2390" w:type="dxa"/>
            <w:tcBorders>
              <w:top w:val="single" w:color="auto" w:sz="4" w:space="0"/>
              <w:left w:val="single" w:color="auto" w:sz="4" w:space="0"/>
              <w:right w:val="single" w:color="auto" w:sz="4" w:space="0"/>
            </w:tcBorders>
            <w:shd w:val="clear" w:color="auto" w:fill="auto"/>
            <w:vAlign w:val="bottom"/>
          </w:tcPr>
          <w:p>
            <w:pPr>
              <w:framePr w:w="8544" w:wrap="notBeside" w:vAnchor="text" w:hAnchor="text" w:xAlign="center" w:y="1"/>
              <w:ind w:firstLine="420"/>
              <w:rPr>
                <w:rFonts w:cs="Times New Roman"/>
                <w:sz w:val="21"/>
                <w:szCs w:val="21"/>
              </w:rPr>
            </w:pPr>
            <w:r>
              <w:rPr>
                <w:rFonts w:cs="Times New Roman"/>
                <w:sz w:val="21"/>
                <w:szCs w:val="21"/>
              </w:rPr>
              <w:t>0.6</w:t>
            </w:r>
            <w:r>
              <w:rPr>
                <w:rFonts w:cs="Times New Roman"/>
                <w:sz w:val="21"/>
                <w:szCs w:val="21"/>
                <w:lang w:val="zh-TW" w:eastAsia="zh-TW"/>
              </w:rPr>
              <w:t>〜</w:t>
            </w:r>
            <w:r>
              <w:rPr>
                <w:rFonts w:cs="Times New Roman"/>
                <w:sz w:val="21"/>
                <w:szCs w:val="21"/>
              </w:rPr>
              <w:t>1.0</w:t>
            </w:r>
          </w:p>
        </w:tc>
      </w:tr>
      <w:tr>
        <w:tblPrEx>
          <w:tblCellMar>
            <w:top w:w="0" w:type="dxa"/>
            <w:left w:w="10" w:type="dxa"/>
            <w:bottom w:w="0" w:type="dxa"/>
            <w:right w:w="10" w:type="dxa"/>
          </w:tblCellMar>
        </w:tblPrEx>
        <w:trPr>
          <w:trHeight w:val="419" w:hRule="exact"/>
          <w:jc w:val="center"/>
        </w:trPr>
        <w:tc>
          <w:tcPr>
            <w:tcW w:w="3043" w:type="dxa"/>
            <w:vMerge w:val="continue"/>
            <w:tcBorders>
              <w:left w:val="single" w:color="auto" w:sz="4" w:space="0"/>
            </w:tcBorders>
            <w:shd w:val="clear" w:color="auto" w:fill="auto"/>
            <w:vAlign w:val="center"/>
          </w:tcPr>
          <w:p>
            <w:pPr>
              <w:framePr w:w="8544" w:wrap="notBeside" w:vAnchor="text" w:hAnchor="text" w:xAlign="center" w:y="1"/>
              <w:ind w:firstLine="420"/>
              <w:rPr>
                <w:rFonts w:cs="Times New Roman"/>
                <w:sz w:val="21"/>
                <w:szCs w:val="21"/>
              </w:rPr>
            </w:pPr>
          </w:p>
        </w:tc>
        <w:tc>
          <w:tcPr>
            <w:tcW w:w="3110" w:type="dxa"/>
            <w:tcBorders>
              <w:top w:val="single" w:color="auto" w:sz="4" w:space="0"/>
              <w:left w:val="single" w:color="auto" w:sz="4" w:space="0"/>
            </w:tcBorders>
            <w:shd w:val="clear" w:color="auto" w:fill="auto"/>
            <w:vAlign w:val="center"/>
          </w:tcPr>
          <w:p>
            <w:pPr>
              <w:framePr w:w="8544" w:wrap="notBeside" w:vAnchor="text" w:hAnchor="text" w:xAlign="center" w:y="1"/>
              <w:ind w:firstLine="420"/>
              <w:rPr>
                <w:rFonts w:cs="Times New Roman"/>
                <w:sz w:val="21"/>
                <w:szCs w:val="21"/>
              </w:rPr>
            </w:pPr>
            <w:r>
              <w:rPr>
                <w:rFonts w:cs="Times New Roman"/>
                <w:sz w:val="21"/>
                <w:szCs w:val="21"/>
                <w:lang w:val="zh-TW" w:eastAsia="zh-TW"/>
              </w:rPr>
              <w:t>400〜</w:t>
            </w:r>
            <w:r>
              <w:rPr>
                <w:rFonts w:cs="Times New Roman"/>
                <w:sz w:val="21"/>
                <w:szCs w:val="21"/>
              </w:rPr>
              <w:t>800mm</w:t>
            </w:r>
          </w:p>
        </w:tc>
        <w:tc>
          <w:tcPr>
            <w:tcW w:w="2390" w:type="dxa"/>
            <w:tcBorders>
              <w:top w:val="single" w:color="auto" w:sz="4" w:space="0"/>
              <w:left w:val="single" w:color="auto" w:sz="4" w:space="0"/>
              <w:right w:val="single" w:color="auto" w:sz="4" w:space="0"/>
            </w:tcBorders>
            <w:shd w:val="clear" w:color="auto" w:fill="auto"/>
            <w:vAlign w:val="center"/>
          </w:tcPr>
          <w:p>
            <w:pPr>
              <w:framePr w:w="8544" w:wrap="notBeside" w:vAnchor="text" w:hAnchor="text" w:xAlign="center" w:y="1"/>
              <w:ind w:firstLine="420"/>
              <w:rPr>
                <w:rFonts w:cs="Times New Roman"/>
                <w:sz w:val="21"/>
                <w:szCs w:val="21"/>
              </w:rPr>
            </w:pPr>
            <w:r>
              <w:rPr>
                <w:rFonts w:cs="Times New Roman"/>
                <w:sz w:val="21"/>
                <w:szCs w:val="21"/>
              </w:rPr>
              <w:t>1.0</w:t>
            </w:r>
            <w:r>
              <w:rPr>
                <w:rFonts w:cs="Times New Roman"/>
                <w:sz w:val="21"/>
                <w:szCs w:val="21"/>
                <w:lang w:val="zh-TW" w:eastAsia="zh-TW"/>
              </w:rPr>
              <w:t>〜</w:t>
            </w:r>
            <w:r>
              <w:rPr>
                <w:rFonts w:cs="Times New Roman"/>
                <w:sz w:val="21"/>
                <w:szCs w:val="21"/>
              </w:rPr>
              <w:t>1.2</w:t>
            </w:r>
          </w:p>
        </w:tc>
      </w:tr>
      <w:tr>
        <w:tblPrEx>
          <w:tblCellMar>
            <w:top w:w="0" w:type="dxa"/>
            <w:left w:w="10" w:type="dxa"/>
            <w:bottom w:w="0" w:type="dxa"/>
            <w:right w:w="10" w:type="dxa"/>
          </w:tblCellMar>
        </w:tblPrEx>
        <w:trPr>
          <w:trHeight w:val="426" w:hRule="exact"/>
          <w:jc w:val="center"/>
        </w:trPr>
        <w:tc>
          <w:tcPr>
            <w:tcW w:w="3043" w:type="dxa"/>
            <w:vMerge w:val="continue"/>
            <w:tcBorders>
              <w:left w:val="single" w:color="auto" w:sz="4" w:space="0"/>
              <w:bottom w:val="single" w:color="auto" w:sz="4" w:space="0"/>
            </w:tcBorders>
            <w:shd w:val="clear" w:color="auto" w:fill="auto"/>
            <w:vAlign w:val="center"/>
          </w:tcPr>
          <w:p>
            <w:pPr>
              <w:framePr w:w="8544" w:wrap="notBeside" w:vAnchor="text" w:hAnchor="text" w:xAlign="center" w:y="1"/>
              <w:ind w:firstLine="420"/>
              <w:rPr>
                <w:rFonts w:cs="Times New Roman"/>
                <w:sz w:val="21"/>
                <w:szCs w:val="21"/>
              </w:rPr>
            </w:pPr>
          </w:p>
        </w:tc>
        <w:tc>
          <w:tcPr>
            <w:tcW w:w="3110" w:type="dxa"/>
            <w:tcBorders>
              <w:top w:val="single" w:color="auto" w:sz="4" w:space="0"/>
              <w:left w:val="single" w:color="auto" w:sz="4" w:space="0"/>
              <w:bottom w:val="single" w:color="auto" w:sz="4" w:space="0"/>
            </w:tcBorders>
            <w:shd w:val="clear" w:color="auto" w:fill="auto"/>
            <w:vAlign w:val="bottom"/>
          </w:tcPr>
          <w:p>
            <w:pPr>
              <w:framePr w:w="8544" w:wrap="notBeside" w:vAnchor="text" w:hAnchor="text" w:xAlign="center" w:y="1"/>
              <w:ind w:firstLine="420"/>
              <w:rPr>
                <w:rFonts w:cs="Times New Roman"/>
                <w:sz w:val="21"/>
                <w:szCs w:val="21"/>
              </w:rPr>
            </w:pPr>
            <w:r>
              <w:rPr>
                <w:rFonts w:cs="Times New Roman"/>
                <w:sz w:val="21"/>
                <w:szCs w:val="21"/>
              </w:rPr>
              <w:t>&gt;800mm</w:t>
            </w:r>
          </w:p>
        </w:tc>
        <w:tc>
          <w:tcPr>
            <w:tcW w:w="2390" w:type="dxa"/>
            <w:tcBorders>
              <w:top w:val="single" w:color="auto" w:sz="4" w:space="0"/>
              <w:left w:val="single" w:color="auto" w:sz="4" w:space="0"/>
              <w:bottom w:val="single" w:color="auto" w:sz="4" w:space="0"/>
              <w:right w:val="single" w:color="auto" w:sz="4" w:space="0"/>
            </w:tcBorders>
            <w:shd w:val="clear" w:color="auto" w:fill="auto"/>
            <w:vAlign w:val="bottom"/>
          </w:tcPr>
          <w:p>
            <w:pPr>
              <w:framePr w:w="8544" w:wrap="notBeside" w:vAnchor="text" w:hAnchor="text" w:xAlign="center" w:y="1"/>
              <w:ind w:firstLine="420"/>
              <w:rPr>
                <w:rFonts w:cs="Times New Roman"/>
                <w:sz w:val="21"/>
                <w:szCs w:val="21"/>
              </w:rPr>
            </w:pPr>
            <w:r>
              <w:rPr>
                <w:rFonts w:cs="Times New Roman"/>
                <w:sz w:val="21"/>
                <w:szCs w:val="21"/>
              </w:rPr>
              <w:t>1.2</w:t>
            </w:r>
            <w:r>
              <w:rPr>
                <w:rFonts w:cs="Times New Roman"/>
                <w:sz w:val="21"/>
                <w:szCs w:val="21"/>
                <w:lang w:val="zh-TW" w:eastAsia="zh-TW"/>
              </w:rPr>
              <w:t>〜</w:t>
            </w:r>
            <w:r>
              <w:rPr>
                <w:rFonts w:cs="Times New Roman"/>
                <w:sz w:val="21"/>
                <w:szCs w:val="21"/>
              </w:rPr>
              <w:t>1.5</w:t>
            </w:r>
          </w:p>
        </w:tc>
      </w:tr>
    </w:tbl>
    <w:p>
      <w:pPr>
        <w:ind w:firstLine="480"/>
        <w:rPr>
          <w:rFonts w:cs="Times New Roman"/>
          <w:szCs w:val="24"/>
        </w:rPr>
      </w:pPr>
      <w:r>
        <w:rPr>
          <w:rFonts w:cs="Times New Roman"/>
          <w:szCs w:val="24"/>
          <w:lang w:val="zh-TW" w:eastAsia="zh-TW"/>
        </w:rPr>
        <w:t>由于</w:t>
      </w:r>
      <w:r>
        <w:rPr>
          <w:rFonts w:cs="Times New Roman"/>
        </w:rPr>
        <w:t>桂花</w:t>
      </w:r>
      <w:r>
        <w:rPr>
          <w:rFonts w:cs="Times New Roman"/>
          <w:lang w:val="zh-CN"/>
        </w:rPr>
        <w:t>水库</w:t>
      </w:r>
      <w:r>
        <w:rPr>
          <w:rFonts w:cs="Times New Roman"/>
          <w:szCs w:val="24"/>
          <w:lang w:val="zh-TW" w:eastAsia="zh-TW"/>
        </w:rPr>
        <w:t>处于高寒山区，其农田属于非标准农田，根据流域农田的情况，</w:t>
      </w:r>
    </w:p>
    <w:p>
      <w:pPr>
        <w:ind w:firstLine="0" w:firstLineChars="0"/>
        <w:rPr>
          <w:rFonts w:cs="Times New Roman"/>
          <w:szCs w:val="24"/>
        </w:rPr>
      </w:pPr>
      <w:r>
        <w:rPr>
          <w:rFonts w:cs="Times New Roman"/>
          <w:szCs w:val="24"/>
        </w:rPr>
        <w:t>COD</w:t>
      </w:r>
      <w:r>
        <w:rPr>
          <w:rFonts w:cs="Times New Roman"/>
          <w:szCs w:val="24"/>
          <w:lang w:val="zh-TW" w:eastAsia="zh-TW"/>
        </w:rPr>
        <w:t xml:space="preserve">源强系数为10 </w:t>
      </w:r>
      <w:r>
        <w:rPr>
          <w:rFonts w:cs="Times New Roman"/>
          <w:szCs w:val="24"/>
        </w:rPr>
        <w:t>kg/</w:t>
      </w:r>
      <w:r>
        <w:rPr>
          <w:rFonts w:cs="Times New Roman"/>
          <w:szCs w:val="24"/>
          <w:lang w:val="zh-TW" w:eastAsia="zh-TW"/>
        </w:rPr>
        <w:t xml:space="preserve">亩•年，氨氮源强系数为2 </w:t>
      </w:r>
      <w:r>
        <w:rPr>
          <w:rFonts w:cs="Times New Roman"/>
          <w:szCs w:val="24"/>
        </w:rPr>
        <w:t>kg/</w:t>
      </w:r>
      <w:r>
        <w:rPr>
          <w:rFonts w:cs="Times New Roman"/>
          <w:szCs w:val="24"/>
          <w:lang w:val="zh-TW" w:eastAsia="zh-TW"/>
        </w:rPr>
        <w:t>亩•年，修正系数取1.3， 农田径流系数0.3</w:t>
      </w:r>
      <w:r>
        <w:rPr>
          <w:rFonts w:hint="eastAsia" w:cs="Times New Roman"/>
          <w:szCs w:val="24"/>
          <w:lang w:val="zh-TW"/>
        </w:rPr>
        <w:t>，</w:t>
      </w:r>
      <w:r>
        <w:rPr>
          <w:rFonts w:cs="Times New Roman"/>
          <w:szCs w:val="24"/>
          <w:lang w:val="zh-TW" w:eastAsia="zh-TW"/>
        </w:rPr>
        <w:t>计算得流域农田径流</w:t>
      </w:r>
      <w:r>
        <w:rPr>
          <w:rFonts w:cs="Times New Roman"/>
          <w:szCs w:val="24"/>
        </w:rPr>
        <w:t>COD</w:t>
      </w:r>
      <w:r>
        <w:rPr>
          <w:rFonts w:cs="Times New Roman"/>
          <w:szCs w:val="24"/>
          <w:lang w:val="zh-TW" w:eastAsia="zh-TW"/>
        </w:rPr>
        <w:t>排放量、氨氮排放量。根据《第一次全国污染源普查农业污染源肥料流失系数手册》，结合</w:t>
      </w:r>
      <w:r>
        <w:rPr>
          <w:rFonts w:hint="eastAsia" w:cs="Times New Roman"/>
          <w:szCs w:val="24"/>
        </w:rPr>
        <w:t>富源县</w:t>
      </w:r>
      <w:r>
        <w:rPr>
          <w:rFonts w:cs="Times New Roman"/>
          <w:szCs w:val="24"/>
          <w:lang w:val="zh-TW" w:eastAsia="zh-TW"/>
        </w:rPr>
        <w:t>农村集中式饮用水源地农田的特征，选取总氮流失量系数为</w:t>
      </w:r>
      <w:r>
        <w:rPr>
          <w:rFonts w:cs="Times New Roman"/>
          <w:szCs w:val="24"/>
        </w:rPr>
        <w:t>0.75</w:t>
      </w:r>
      <w:r>
        <w:rPr>
          <w:rFonts w:hint="eastAsia" w:cs="Times New Roman"/>
          <w:szCs w:val="24"/>
        </w:rPr>
        <w:t>，</w:t>
      </w:r>
      <w:r>
        <w:rPr>
          <w:rFonts w:cs="Times New Roman"/>
          <w:szCs w:val="24"/>
          <w:lang w:val="zh-TW" w:eastAsia="zh-TW"/>
        </w:rPr>
        <w:t>总磷流失量系数为0.072。</w:t>
      </w:r>
      <w:r>
        <w:rPr>
          <w:rFonts w:cs="Times New Roman"/>
        </w:rPr>
        <w:t>桂花</w:t>
      </w:r>
      <w:r>
        <w:rPr>
          <w:rFonts w:cs="Times New Roman"/>
          <w:lang w:val="zh-CN"/>
        </w:rPr>
        <w:t>水库</w:t>
      </w:r>
      <w:r>
        <w:rPr>
          <w:rFonts w:cs="Times New Roman"/>
          <w:szCs w:val="24"/>
          <w:lang w:val="zh-TW" w:eastAsia="zh-TW"/>
        </w:rPr>
        <w:t>饮用水源地农田径流污染物排放量为</w:t>
      </w:r>
      <w:r>
        <w:rPr>
          <w:rFonts w:cs="Times New Roman"/>
          <w:szCs w:val="24"/>
        </w:rPr>
        <w:t xml:space="preserve">TN </w:t>
      </w:r>
      <w:r>
        <w:rPr>
          <w:rFonts w:hint="eastAsia" w:cs="Times New Roman"/>
          <w:szCs w:val="24"/>
        </w:rPr>
        <w:t>16.84kg</w:t>
      </w:r>
      <w:r>
        <w:rPr>
          <w:rFonts w:cs="Times New Roman"/>
          <w:szCs w:val="24"/>
        </w:rPr>
        <w:t xml:space="preserve">/a, TP </w:t>
      </w:r>
      <w:r>
        <w:rPr>
          <w:rFonts w:hint="eastAsia" w:cs="Times New Roman"/>
          <w:szCs w:val="24"/>
        </w:rPr>
        <w:t>6.7</w:t>
      </w:r>
      <w:r>
        <w:rPr>
          <w:rFonts w:cs="Times New Roman"/>
          <w:szCs w:val="24"/>
        </w:rPr>
        <w:t xml:space="preserve"> </w:t>
      </w:r>
      <w:r>
        <w:rPr>
          <w:rFonts w:hint="eastAsia" w:cs="Times New Roman"/>
          <w:szCs w:val="24"/>
        </w:rPr>
        <w:t>kg</w:t>
      </w:r>
      <w:r>
        <w:rPr>
          <w:rFonts w:cs="Times New Roman"/>
          <w:szCs w:val="24"/>
        </w:rPr>
        <w:t xml:space="preserve">/a, </w:t>
      </w:r>
      <w:r>
        <w:rPr>
          <w:rFonts w:cs="Times New Roman"/>
          <w:szCs w:val="24"/>
          <w:lang w:val="zh-TW" w:eastAsia="zh-TW"/>
        </w:rPr>
        <w:t>氨氮</w:t>
      </w:r>
      <w:r>
        <w:rPr>
          <w:rFonts w:hint="eastAsia" w:cs="Times New Roman"/>
          <w:szCs w:val="24"/>
        </w:rPr>
        <w:t>3.4kg</w:t>
      </w:r>
      <w:r>
        <w:rPr>
          <w:rFonts w:cs="Times New Roman"/>
          <w:szCs w:val="24"/>
        </w:rPr>
        <w:t>/a,</w:t>
      </w:r>
      <w:r>
        <w:rPr>
          <w:rFonts w:cs="Times New Roman"/>
          <w:szCs w:val="24"/>
          <w:lang w:val="zh-TW" w:eastAsia="zh-TW"/>
        </w:rPr>
        <w:t>详情见表5.3-8。</w:t>
      </w:r>
    </w:p>
    <w:p>
      <w:pPr>
        <w:ind w:firstLine="480"/>
        <w:rPr>
          <w:rFonts w:cs="Times New Roman"/>
          <w:szCs w:val="24"/>
          <w:lang w:val="zh-TW" w:eastAsia="zh-TW"/>
        </w:rPr>
      </w:pPr>
      <w:r>
        <w:rPr>
          <w:rFonts w:cs="Times New Roman"/>
          <w:szCs w:val="24"/>
          <w:lang w:val="zh-TW" w:eastAsia="zh-TW"/>
        </w:rPr>
        <w:t>根据云南省污染源普查资料，</w:t>
      </w:r>
      <w:r>
        <w:rPr>
          <w:rFonts w:cs="Times New Roman"/>
        </w:rPr>
        <w:t>桂花</w:t>
      </w:r>
      <w:r>
        <w:rPr>
          <w:rFonts w:cs="Times New Roman"/>
          <w:lang w:val="zh-CN"/>
        </w:rPr>
        <w:t>水库</w:t>
      </w:r>
      <w:r>
        <w:rPr>
          <w:rFonts w:cs="Times New Roman"/>
          <w:szCs w:val="24"/>
          <w:lang w:val="zh-TW" w:eastAsia="zh-TW"/>
        </w:rPr>
        <w:t>饮水源径流区农田固体废物污染负荷的计算参数见</w:t>
      </w:r>
      <w:r>
        <w:rPr>
          <w:rFonts w:cs="Times New Roman"/>
          <w:szCs w:val="24"/>
        </w:rPr>
        <w:t>见表3-</w:t>
      </w:r>
      <w:r>
        <w:rPr>
          <w:rFonts w:hint="eastAsia" w:cs="Times New Roman"/>
          <w:szCs w:val="24"/>
        </w:rPr>
        <w:t>3</w:t>
      </w:r>
      <w:r>
        <w:rPr>
          <w:rFonts w:cs="Times New Roman"/>
          <w:szCs w:val="24"/>
          <w:lang w:val="zh-TW" w:eastAsia="zh-TW"/>
        </w:rPr>
        <w:t>。</w:t>
      </w:r>
    </w:p>
    <w:p>
      <w:pPr>
        <w:ind w:firstLine="482"/>
        <w:jc w:val="center"/>
        <w:rPr>
          <w:rFonts w:cs="Times New Roman"/>
          <w:b/>
          <w:bCs/>
          <w:szCs w:val="24"/>
        </w:rPr>
      </w:pPr>
      <w:r>
        <w:rPr>
          <w:rFonts w:cs="Times New Roman"/>
          <w:b/>
          <w:bCs/>
          <w:szCs w:val="24"/>
        </w:rPr>
        <w:t>表3-</w:t>
      </w:r>
      <w:r>
        <w:rPr>
          <w:rFonts w:hint="eastAsia" w:cs="Times New Roman"/>
          <w:b/>
          <w:bCs/>
          <w:szCs w:val="24"/>
        </w:rPr>
        <w:t>3农田固体废物污染负荷的计算参数表</w:t>
      </w:r>
    </w:p>
    <w:tbl>
      <w:tblPr>
        <w:tblStyle w:val="23"/>
        <w:tblW w:w="8564" w:type="dxa"/>
        <w:jc w:val="center"/>
        <w:tblLayout w:type="fixed"/>
        <w:tblCellMar>
          <w:top w:w="0" w:type="dxa"/>
          <w:left w:w="10" w:type="dxa"/>
          <w:bottom w:w="0" w:type="dxa"/>
          <w:right w:w="10" w:type="dxa"/>
        </w:tblCellMar>
      </w:tblPr>
      <w:tblGrid>
        <w:gridCol w:w="1540"/>
        <w:gridCol w:w="2708"/>
        <w:gridCol w:w="1491"/>
        <w:gridCol w:w="1376"/>
        <w:gridCol w:w="1449"/>
      </w:tblGrid>
      <w:tr>
        <w:tblPrEx>
          <w:tblCellMar>
            <w:top w:w="0" w:type="dxa"/>
            <w:left w:w="10" w:type="dxa"/>
            <w:bottom w:w="0" w:type="dxa"/>
            <w:right w:w="10" w:type="dxa"/>
          </w:tblCellMar>
        </w:tblPrEx>
        <w:trPr>
          <w:trHeight w:val="913" w:hRule="exact"/>
          <w:jc w:val="center"/>
        </w:trPr>
        <w:tc>
          <w:tcPr>
            <w:tcW w:w="1540" w:type="dxa"/>
            <w:tcBorders>
              <w:top w:val="single" w:color="auto" w:sz="4" w:space="0"/>
              <w:left w:val="single" w:color="auto" w:sz="4" w:space="0"/>
            </w:tcBorders>
            <w:shd w:val="clear" w:color="auto" w:fill="auto"/>
            <w:vAlign w:val="center"/>
          </w:tcPr>
          <w:p>
            <w:pPr>
              <w:framePr w:w="8544" w:wrap="notBeside" w:vAnchor="text" w:hAnchor="text" w:xAlign="center" w:y="1"/>
              <w:ind w:firstLine="420"/>
              <w:rPr>
                <w:rFonts w:cs="Times New Roman"/>
                <w:sz w:val="21"/>
                <w:szCs w:val="21"/>
              </w:rPr>
            </w:pPr>
            <w:r>
              <w:rPr>
                <w:rFonts w:cs="Times New Roman"/>
                <w:sz w:val="21"/>
                <w:szCs w:val="21"/>
                <w:lang w:val="zh-TW" w:eastAsia="zh-TW"/>
              </w:rPr>
              <w:t>参数</w:t>
            </w:r>
          </w:p>
        </w:tc>
        <w:tc>
          <w:tcPr>
            <w:tcW w:w="2708" w:type="dxa"/>
            <w:tcBorders>
              <w:top w:val="single" w:color="auto" w:sz="4" w:space="0"/>
              <w:left w:val="single" w:color="auto" w:sz="4" w:space="0"/>
            </w:tcBorders>
            <w:shd w:val="clear" w:color="auto" w:fill="auto"/>
            <w:vAlign w:val="bottom"/>
          </w:tcPr>
          <w:p>
            <w:pPr>
              <w:framePr w:w="8544" w:wrap="notBeside" w:vAnchor="text" w:hAnchor="text" w:xAlign="center" w:y="1"/>
              <w:ind w:firstLine="0" w:firstLineChars="0"/>
              <w:jc w:val="center"/>
              <w:rPr>
                <w:rFonts w:cs="Times New Roman"/>
                <w:sz w:val="21"/>
                <w:szCs w:val="21"/>
                <w:lang w:val="zh-TW" w:eastAsia="zh-TW"/>
              </w:rPr>
            </w:pPr>
            <w:r>
              <w:rPr>
                <w:rFonts w:cs="Times New Roman"/>
                <w:sz w:val="21"/>
                <w:szCs w:val="21"/>
                <w:lang w:val="zh-TW" w:eastAsia="zh-TW"/>
              </w:rPr>
              <w:t>农业生产植物残体</w:t>
            </w:r>
          </w:p>
          <w:p>
            <w:pPr>
              <w:framePr w:w="8544" w:wrap="notBeside" w:vAnchor="text" w:hAnchor="text" w:xAlign="center" w:y="1"/>
              <w:ind w:firstLine="0" w:firstLineChars="0"/>
              <w:jc w:val="center"/>
              <w:rPr>
                <w:rFonts w:cs="Times New Roman"/>
                <w:sz w:val="21"/>
                <w:szCs w:val="21"/>
              </w:rPr>
            </w:pPr>
            <w:r>
              <w:rPr>
                <w:rFonts w:cs="Times New Roman"/>
                <w:sz w:val="21"/>
                <w:szCs w:val="21"/>
                <w:lang w:val="zh-TW" w:eastAsia="zh-TW"/>
              </w:rPr>
              <w:t xml:space="preserve">产生量 </w:t>
            </w:r>
            <w:r>
              <w:rPr>
                <w:rFonts w:cs="Times New Roman"/>
                <w:sz w:val="21"/>
                <w:szCs w:val="21"/>
              </w:rPr>
              <w:t>(kg/</w:t>
            </w:r>
            <w:r>
              <w:rPr>
                <w:rFonts w:cs="Times New Roman"/>
                <w:sz w:val="21"/>
                <w:szCs w:val="21"/>
                <w:lang w:val="zh-TW" w:eastAsia="zh-TW"/>
              </w:rPr>
              <w:t>亩</w:t>
            </w:r>
            <w:r>
              <w:rPr>
                <w:rFonts w:hint="eastAsia" w:cs="Times New Roman"/>
                <w:sz w:val="21"/>
                <w:szCs w:val="21"/>
              </w:rPr>
              <w:t>·</w:t>
            </w:r>
            <w:r>
              <w:rPr>
                <w:rFonts w:cs="Times New Roman"/>
                <w:sz w:val="21"/>
                <w:szCs w:val="21"/>
              </w:rPr>
              <w:t>a)</w:t>
            </w:r>
          </w:p>
        </w:tc>
        <w:tc>
          <w:tcPr>
            <w:tcW w:w="1491" w:type="dxa"/>
            <w:tcBorders>
              <w:top w:val="single" w:color="auto" w:sz="4" w:space="0"/>
              <w:left w:val="single" w:color="auto" w:sz="4" w:space="0"/>
            </w:tcBorders>
            <w:shd w:val="clear" w:color="auto" w:fill="auto"/>
            <w:vAlign w:val="center"/>
          </w:tcPr>
          <w:p>
            <w:pPr>
              <w:framePr w:w="8544" w:wrap="notBeside" w:vAnchor="text" w:hAnchor="text" w:xAlign="center" w:y="1"/>
              <w:ind w:firstLine="0" w:firstLineChars="0"/>
              <w:rPr>
                <w:rFonts w:cs="Times New Roman"/>
                <w:sz w:val="21"/>
                <w:szCs w:val="21"/>
              </w:rPr>
            </w:pPr>
            <w:r>
              <w:rPr>
                <w:rFonts w:cs="Times New Roman"/>
                <w:sz w:val="21"/>
                <w:szCs w:val="21"/>
                <w:lang w:val="zh-TW" w:eastAsia="zh-TW"/>
              </w:rPr>
              <w:t>固废总氮负荷</w:t>
            </w:r>
          </w:p>
        </w:tc>
        <w:tc>
          <w:tcPr>
            <w:tcW w:w="1376" w:type="dxa"/>
            <w:tcBorders>
              <w:top w:val="single" w:color="auto" w:sz="4" w:space="0"/>
              <w:left w:val="single" w:color="auto" w:sz="4" w:space="0"/>
            </w:tcBorders>
            <w:shd w:val="clear" w:color="auto" w:fill="auto"/>
            <w:vAlign w:val="bottom"/>
          </w:tcPr>
          <w:p>
            <w:pPr>
              <w:framePr w:w="8544" w:wrap="notBeside" w:vAnchor="text" w:hAnchor="text" w:xAlign="center" w:y="1"/>
              <w:ind w:firstLine="0" w:firstLineChars="0"/>
              <w:jc w:val="center"/>
              <w:rPr>
                <w:rFonts w:cs="Times New Roman"/>
                <w:sz w:val="21"/>
                <w:szCs w:val="21"/>
                <w:lang w:val="zh-TW" w:eastAsia="zh-TW"/>
              </w:rPr>
            </w:pPr>
            <w:r>
              <w:rPr>
                <w:rFonts w:cs="Times New Roman"/>
                <w:sz w:val="21"/>
                <w:szCs w:val="21"/>
                <w:lang w:val="zh-TW" w:eastAsia="zh-TW"/>
              </w:rPr>
              <w:t>固体氨氮</w:t>
            </w:r>
          </w:p>
          <w:p>
            <w:pPr>
              <w:framePr w:w="8544" w:wrap="notBeside" w:vAnchor="text" w:hAnchor="text" w:xAlign="center" w:y="1"/>
              <w:ind w:firstLine="0" w:firstLineChars="0"/>
              <w:jc w:val="center"/>
              <w:rPr>
                <w:rFonts w:cs="Times New Roman"/>
                <w:sz w:val="21"/>
                <w:szCs w:val="21"/>
              </w:rPr>
            </w:pPr>
            <w:r>
              <w:rPr>
                <w:rFonts w:cs="Times New Roman"/>
                <w:sz w:val="21"/>
                <w:szCs w:val="21"/>
                <w:lang w:val="zh-TW" w:eastAsia="zh-TW"/>
              </w:rPr>
              <w:t>负 荷</w:t>
            </w:r>
          </w:p>
        </w:tc>
        <w:tc>
          <w:tcPr>
            <w:tcW w:w="1449" w:type="dxa"/>
            <w:tcBorders>
              <w:top w:val="single" w:color="auto" w:sz="4" w:space="0"/>
              <w:left w:val="single" w:color="auto" w:sz="4" w:space="0"/>
              <w:right w:val="single" w:color="auto" w:sz="4" w:space="0"/>
            </w:tcBorders>
            <w:shd w:val="clear" w:color="auto" w:fill="auto"/>
            <w:vAlign w:val="bottom"/>
          </w:tcPr>
          <w:p>
            <w:pPr>
              <w:framePr w:w="8544" w:wrap="notBeside" w:vAnchor="text" w:hAnchor="text" w:xAlign="center" w:y="1"/>
              <w:ind w:firstLine="0" w:firstLineChars="0"/>
              <w:jc w:val="center"/>
              <w:rPr>
                <w:rFonts w:cs="Times New Roman"/>
                <w:sz w:val="21"/>
                <w:szCs w:val="21"/>
                <w:lang w:val="zh-TW" w:eastAsia="zh-TW"/>
              </w:rPr>
            </w:pPr>
            <w:r>
              <w:rPr>
                <w:rFonts w:cs="Times New Roman"/>
                <w:sz w:val="21"/>
                <w:szCs w:val="21"/>
                <w:lang w:val="zh-TW" w:eastAsia="zh-TW"/>
              </w:rPr>
              <w:t>固废总磷</w:t>
            </w:r>
          </w:p>
          <w:p>
            <w:pPr>
              <w:framePr w:w="8544" w:wrap="notBeside" w:vAnchor="text" w:hAnchor="text" w:xAlign="center" w:y="1"/>
              <w:ind w:firstLine="0" w:firstLineChars="0"/>
              <w:jc w:val="center"/>
              <w:rPr>
                <w:rFonts w:cs="Times New Roman"/>
                <w:sz w:val="21"/>
                <w:szCs w:val="21"/>
              </w:rPr>
            </w:pPr>
            <w:r>
              <w:rPr>
                <w:rFonts w:cs="Times New Roman"/>
                <w:sz w:val="21"/>
                <w:szCs w:val="21"/>
                <w:lang w:val="zh-TW" w:eastAsia="zh-TW"/>
              </w:rPr>
              <w:t>负 荷</w:t>
            </w:r>
          </w:p>
        </w:tc>
      </w:tr>
      <w:tr>
        <w:tblPrEx>
          <w:tblCellMar>
            <w:top w:w="0" w:type="dxa"/>
            <w:left w:w="10" w:type="dxa"/>
            <w:bottom w:w="0" w:type="dxa"/>
            <w:right w:w="10" w:type="dxa"/>
          </w:tblCellMar>
        </w:tblPrEx>
        <w:trPr>
          <w:trHeight w:val="482" w:hRule="exact"/>
          <w:jc w:val="center"/>
        </w:trPr>
        <w:tc>
          <w:tcPr>
            <w:tcW w:w="1540" w:type="dxa"/>
            <w:tcBorders>
              <w:top w:val="single" w:color="auto" w:sz="4" w:space="0"/>
              <w:left w:val="single" w:color="auto" w:sz="4" w:space="0"/>
            </w:tcBorders>
            <w:shd w:val="clear" w:color="auto" w:fill="auto"/>
            <w:vAlign w:val="center"/>
          </w:tcPr>
          <w:p>
            <w:pPr>
              <w:framePr w:w="8544" w:wrap="notBeside" w:vAnchor="text" w:hAnchor="text" w:xAlign="center" w:y="1"/>
              <w:ind w:firstLine="420"/>
              <w:rPr>
                <w:rFonts w:cs="Times New Roman"/>
                <w:sz w:val="21"/>
                <w:szCs w:val="21"/>
              </w:rPr>
            </w:pPr>
            <w:r>
              <w:rPr>
                <w:rFonts w:cs="Times New Roman"/>
                <w:sz w:val="21"/>
                <w:szCs w:val="21"/>
                <w:lang w:val="zh-TW" w:eastAsia="zh-TW"/>
              </w:rPr>
              <w:t>产生量系数</w:t>
            </w:r>
          </w:p>
        </w:tc>
        <w:tc>
          <w:tcPr>
            <w:tcW w:w="2708" w:type="dxa"/>
            <w:tcBorders>
              <w:top w:val="single" w:color="auto" w:sz="4" w:space="0"/>
              <w:left w:val="single" w:color="auto" w:sz="4" w:space="0"/>
            </w:tcBorders>
            <w:shd w:val="clear" w:color="auto" w:fill="auto"/>
            <w:vAlign w:val="bottom"/>
          </w:tcPr>
          <w:p>
            <w:pPr>
              <w:framePr w:w="8544" w:wrap="notBeside" w:vAnchor="text" w:hAnchor="text" w:xAlign="center" w:y="1"/>
              <w:ind w:firstLine="420"/>
              <w:rPr>
                <w:rFonts w:cs="Times New Roman"/>
                <w:sz w:val="21"/>
                <w:szCs w:val="21"/>
              </w:rPr>
            </w:pPr>
            <w:r>
              <w:rPr>
                <w:rFonts w:cs="Times New Roman"/>
                <w:sz w:val="21"/>
                <w:szCs w:val="21"/>
                <w:lang w:val="zh-TW" w:eastAsia="zh-TW"/>
              </w:rPr>
              <w:t>1000</w:t>
            </w:r>
          </w:p>
        </w:tc>
        <w:tc>
          <w:tcPr>
            <w:tcW w:w="1491" w:type="dxa"/>
            <w:tcBorders>
              <w:top w:val="single" w:color="auto" w:sz="4" w:space="0"/>
              <w:left w:val="single" w:color="auto" w:sz="4" w:space="0"/>
            </w:tcBorders>
            <w:shd w:val="clear" w:color="auto" w:fill="auto"/>
            <w:vAlign w:val="center"/>
          </w:tcPr>
          <w:p>
            <w:pPr>
              <w:framePr w:w="8544" w:wrap="notBeside" w:vAnchor="text" w:hAnchor="text" w:xAlign="center" w:y="1"/>
              <w:ind w:firstLine="420"/>
              <w:rPr>
                <w:rFonts w:cs="Times New Roman"/>
                <w:sz w:val="21"/>
                <w:szCs w:val="21"/>
              </w:rPr>
            </w:pPr>
            <w:r>
              <w:rPr>
                <w:rFonts w:cs="Times New Roman"/>
                <w:sz w:val="21"/>
                <w:szCs w:val="21"/>
                <w:lang w:val="zh-TW" w:eastAsia="zh-TW"/>
              </w:rPr>
              <w:t>1.0%</w:t>
            </w:r>
          </w:p>
        </w:tc>
        <w:tc>
          <w:tcPr>
            <w:tcW w:w="1376" w:type="dxa"/>
            <w:tcBorders>
              <w:top w:val="single" w:color="auto" w:sz="4" w:space="0"/>
              <w:left w:val="single" w:color="auto" w:sz="4" w:space="0"/>
            </w:tcBorders>
            <w:shd w:val="clear" w:color="auto" w:fill="auto"/>
            <w:vAlign w:val="center"/>
          </w:tcPr>
          <w:p>
            <w:pPr>
              <w:framePr w:w="8544" w:wrap="notBeside" w:vAnchor="text" w:hAnchor="text" w:xAlign="center" w:y="1"/>
              <w:ind w:firstLine="420"/>
              <w:rPr>
                <w:rFonts w:cs="Times New Roman"/>
                <w:sz w:val="21"/>
                <w:szCs w:val="21"/>
              </w:rPr>
            </w:pPr>
            <w:r>
              <w:rPr>
                <w:rFonts w:cs="Times New Roman"/>
                <w:sz w:val="21"/>
                <w:szCs w:val="21"/>
                <w:lang w:val="zh-TW" w:eastAsia="zh-TW"/>
              </w:rPr>
              <w:t>0.6%</w:t>
            </w:r>
          </w:p>
        </w:tc>
        <w:tc>
          <w:tcPr>
            <w:tcW w:w="1449" w:type="dxa"/>
            <w:tcBorders>
              <w:top w:val="single" w:color="auto" w:sz="4" w:space="0"/>
              <w:left w:val="single" w:color="auto" w:sz="4" w:space="0"/>
              <w:right w:val="single" w:color="auto" w:sz="4" w:space="0"/>
            </w:tcBorders>
            <w:shd w:val="clear" w:color="auto" w:fill="auto"/>
            <w:vAlign w:val="center"/>
          </w:tcPr>
          <w:p>
            <w:pPr>
              <w:framePr w:w="8544" w:wrap="notBeside" w:vAnchor="text" w:hAnchor="text" w:xAlign="center" w:y="1"/>
              <w:ind w:firstLine="420"/>
              <w:rPr>
                <w:rFonts w:cs="Times New Roman"/>
                <w:sz w:val="21"/>
                <w:szCs w:val="21"/>
              </w:rPr>
            </w:pPr>
            <w:r>
              <w:rPr>
                <w:rFonts w:cs="Times New Roman"/>
                <w:sz w:val="21"/>
                <w:szCs w:val="21"/>
                <w:lang w:val="zh-TW" w:eastAsia="zh-TW"/>
              </w:rPr>
              <w:t>0.4%</w:t>
            </w:r>
          </w:p>
        </w:tc>
      </w:tr>
      <w:tr>
        <w:tblPrEx>
          <w:tblCellMar>
            <w:top w:w="0" w:type="dxa"/>
            <w:left w:w="10" w:type="dxa"/>
            <w:bottom w:w="0" w:type="dxa"/>
            <w:right w:w="10" w:type="dxa"/>
          </w:tblCellMar>
        </w:tblPrEx>
        <w:trPr>
          <w:trHeight w:val="394" w:hRule="exact"/>
          <w:jc w:val="center"/>
        </w:trPr>
        <w:tc>
          <w:tcPr>
            <w:tcW w:w="1540" w:type="dxa"/>
            <w:tcBorders>
              <w:top w:val="single" w:color="auto" w:sz="4" w:space="0"/>
              <w:left w:val="single" w:color="auto" w:sz="4" w:space="0"/>
              <w:bottom w:val="single" w:color="auto" w:sz="4" w:space="0"/>
            </w:tcBorders>
            <w:shd w:val="clear" w:color="auto" w:fill="auto"/>
            <w:vAlign w:val="center"/>
          </w:tcPr>
          <w:p>
            <w:pPr>
              <w:framePr w:w="8544" w:wrap="notBeside" w:vAnchor="text" w:hAnchor="text" w:xAlign="center" w:y="1"/>
              <w:ind w:firstLine="420"/>
              <w:rPr>
                <w:rFonts w:cs="Times New Roman"/>
                <w:sz w:val="21"/>
                <w:szCs w:val="21"/>
              </w:rPr>
            </w:pPr>
            <w:r>
              <w:rPr>
                <w:rFonts w:cs="Times New Roman"/>
                <w:sz w:val="21"/>
                <w:szCs w:val="21"/>
                <w:lang w:val="zh-TW" w:eastAsia="zh-TW"/>
              </w:rPr>
              <w:t>排放量系数</w:t>
            </w:r>
          </w:p>
        </w:tc>
        <w:tc>
          <w:tcPr>
            <w:tcW w:w="2708" w:type="dxa"/>
            <w:tcBorders>
              <w:top w:val="single" w:color="auto" w:sz="4" w:space="0"/>
              <w:left w:val="single" w:color="auto" w:sz="4" w:space="0"/>
              <w:bottom w:val="single" w:color="auto" w:sz="4" w:space="0"/>
            </w:tcBorders>
            <w:shd w:val="clear" w:color="auto" w:fill="auto"/>
            <w:vAlign w:val="center"/>
          </w:tcPr>
          <w:p>
            <w:pPr>
              <w:framePr w:w="8544" w:wrap="notBeside" w:vAnchor="text" w:hAnchor="text" w:xAlign="center" w:y="1"/>
              <w:ind w:firstLine="420"/>
              <w:rPr>
                <w:rFonts w:cs="Times New Roman"/>
                <w:sz w:val="21"/>
                <w:szCs w:val="21"/>
              </w:rPr>
            </w:pPr>
            <w:r>
              <w:rPr>
                <w:rFonts w:cs="Times New Roman"/>
                <w:sz w:val="21"/>
                <w:szCs w:val="21"/>
              </w:rPr>
              <w:t>0.05</w:t>
            </w:r>
          </w:p>
        </w:tc>
        <w:tc>
          <w:tcPr>
            <w:tcW w:w="1491" w:type="dxa"/>
            <w:tcBorders>
              <w:top w:val="single" w:color="auto" w:sz="4" w:space="0"/>
              <w:left w:val="single" w:color="auto" w:sz="4" w:space="0"/>
              <w:bottom w:val="single" w:color="auto" w:sz="4" w:space="0"/>
            </w:tcBorders>
            <w:shd w:val="clear" w:color="auto" w:fill="auto"/>
            <w:vAlign w:val="center"/>
          </w:tcPr>
          <w:p>
            <w:pPr>
              <w:framePr w:w="8544" w:wrap="notBeside" w:vAnchor="text" w:hAnchor="text" w:xAlign="center" w:y="1"/>
              <w:ind w:firstLine="420"/>
              <w:rPr>
                <w:rFonts w:cs="Times New Roman"/>
                <w:sz w:val="21"/>
                <w:szCs w:val="21"/>
              </w:rPr>
            </w:pPr>
            <w:r>
              <w:rPr>
                <w:rFonts w:cs="Times New Roman"/>
                <w:sz w:val="21"/>
                <w:szCs w:val="21"/>
              </w:rPr>
              <w:t>0.025</w:t>
            </w:r>
          </w:p>
        </w:tc>
        <w:tc>
          <w:tcPr>
            <w:tcW w:w="1376" w:type="dxa"/>
            <w:tcBorders>
              <w:top w:val="single" w:color="auto" w:sz="4" w:space="0"/>
              <w:left w:val="single" w:color="auto" w:sz="4" w:space="0"/>
              <w:bottom w:val="single" w:color="auto" w:sz="4" w:space="0"/>
            </w:tcBorders>
            <w:shd w:val="clear" w:color="auto" w:fill="auto"/>
            <w:vAlign w:val="center"/>
          </w:tcPr>
          <w:p>
            <w:pPr>
              <w:framePr w:w="8544" w:wrap="notBeside" w:vAnchor="text" w:hAnchor="text" w:xAlign="center" w:y="1"/>
              <w:ind w:firstLine="420"/>
              <w:rPr>
                <w:rFonts w:cs="Times New Roman"/>
                <w:sz w:val="21"/>
                <w:szCs w:val="21"/>
              </w:rPr>
            </w:pPr>
            <w:r>
              <w:rPr>
                <w:rFonts w:cs="Times New Roman"/>
                <w:sz w:val="21"/>
                <w:szCs w:val="21"/>
              </w:rPr>
              <w:t>0.025</w:t>
            </w:r>
          </w:p>
        </w:tc>
        <w:tc>
          <w:tcPr>
            <w:tcW w:w="1449" w:type="dxa"/>
            <w:tcBorders>
              <w:top w:val="single" w:color="auto" w:sz="4" w:space="0"/>
              <w:left w:val="single" w:color="auto" w:sz="4" w:space="0"/>
              <w:bottom w:val="single" w:color="auto" w:sz="4" w:space="0"/>
              <w:right w:val="single" w:color="auto" w:sz="4" w:space="0"/>
            </w:tcBorders>
            <w:shd w:val="clear" w:color="auto" w:fill="auto"/>
            <w:vAlign w:val="center"/>
          </w:tcPr>
          <w:p>
            <w:pPr>
              <w:framePr w:w="8544" w:wrap="notBeside" w:vAnchor="text" w:hAnchor="text" w:xAlign="center" w:y="1"/>
              <w:ind w:firstLine="420"/>
              <w:rPr>
                <w:rFonts w:cs="Times New Roman"/>
                <w:sz w:val="21"/>
                <w:szCs w:val="21"/>
              </w:rPr>
            </w:pPr>
            <w:r>
              <w:rPr>
                <w:rFonts w:cs="Times New Roman"/>
                <w:sz w:val="21"/>
                <w:szCs w:val="21"/>
              </w:rPr>
              <w:t>0.005</w:t>
            </w:r>
          </w:p>
        </w:tc>
      </w:tr>
    </w:tbl>
    <w:p>
      <w:pPr>
        <w:pStyle w:val="8"/>
        <w:adjustRightInd w:val="0"/>
        <w:spacing w:before="93" w:beforeLines="30" w:line="360" w:lineRule="auto"/>
        <w:ind w:firstLine="480"/>
        <w:rPr>
          <w:rFonts w:cs="Times New Roman"/>
          <w:sz w:val="24"/>
          <w:szCs w:val="24"/>
        </w:rPr>
      </w:pPr>
      <w:r>
        <w:rPr>
          <w:rFonts w:cs="Times New Roman"/>
          <w:sz w:val="24"/>
          <w:szCs w:val="18"/>
        </w:rPr>
        <w:t>桂花</w:t>
      </w:r>
      <w:r>
        <w:rPr>
          <w:rFonts w:cs="Times New Roman"/>
          <w:sz w:val="24"/>
          <w:szCs w:val="18"/>
          <w:lang w:val="zh-CN"/>
        </w:rPr>
        <w:t>水库</w:t>
      </w:r>
      <w:r>
        <w:rPr>
          <w:rFonts w:cs="Times New Roman"/>
          <w:sz w:val="24"/>
          <w:szCs w:val="22"/>
          <w:lang w:val="zh-TW" w:eastAsia="zh-TW"/>
        </w:rPr>
        <w:t>饮用水源径流区产生的农田固废主要是农作物秸杆。周边区域内秸杆主要经过焚烧、怄肥后还田，还田率超过90%。因此，</w:t>
      </w:r>
      <w:r>
        <w:rPr>
          <w:rFonts w:cs="Times New Roman"/>
          <w:sz w:val="24"/>
          <w:szCs w:val="18"/>
        </w:rPr>
        <w:t>桂花</w:t>
      </w:r>
      <w:r>
        <w:rPr>
          <w:rFonts w:cs="Times New Roman"/>
          <w:sz w:val="24"/>
          <w:szCs w:val="18"/>
          <w:lang w:val="zh-CN"/>
        </w:rPr>
        <w:t>水库</w:t>
      </w:r>
      <w:r>
        <w:rPr>
          <w:rFonts w:cs="Times New Roman"/>
          <w:sz w:val="24"/>
          <w:szCs w:val="22"/>
          <w:lang w:val="zh-TW" w:eastAsia="zh-TW"/>
        </w:rPr>
        <w:t>水源径流区农田固体废物负荷排放量为</w:t>
      </w:r>
      <w:r>
        <w:rPr>
          <w:rFonts w:cs="Times New Roman"/>
          <w:sz w:val="24"/>
          <w:szCs w:val="22"/>
        </w:rPr>
        <w:t xml:space="preserve">TN </w:t>
      </w:r>
      <w:r>
        <w:rPr>
          <w:rFonts w:hint="eastAsia" w:cs="Times New Roman"/>
          <w:sz w:val="24"/>
          <w:szCs w:val="22"/>
        </w:rPr>
        <w:t>6.7</w:t>
      </w:r>
      <w:r>
        <w:rPr>
          <w:rFonts w:cs="Times New Roman"/>
          <w:sz w:val="24"/>
          <w:szCs w:val="22"/>
        </w:rPr>
        <w:t xml:space="preserve"> </w:t>
      </w:r>
      <w:r>
        <w:rPr>
          <w:rFonts w:hint="eastAsia" w:cs="Times New Roman"/>
          <w:sz w:val="24"/>
          <w:szCs w:val="22"/>
        </w:rPr>
        <w:t>kg</w:t>
      </w:r>
      <w:r>
        <w:rPr>
          <w:rFonts w:cs="Times New Roman"/>
          <w:sz w:val="24"/>
          <w:szCs w:val="22"/>
        </w:rPr>
        <w:t>/a，TP</w:t>
      </w:r>
      <w:r>
        <w:rPr>
          <w:rFonts w:hint="eastAsia" w:cs="Times New Roman"/>
          <w:sz w:val="24"/>
          <w:szCs w:val="22"/>
        </w:rPr>
        <w:t>0.59kg</w:t>
      </w:r>
      <w:r>
        <w:rPr>
          <w:rFonts w:cs="Times New Roman"/>
          <w:sz w:val="24"/>
          <w:szCs w:val="22"/>
        </w:rPr>
        <w:t>/a，</w:t>
      </w:r>
      <w:r>
        <w:rPr>
          <w:rFonts w:cs="Times New Roman"/>
          <w:sz w:val="24"/>
          <w:szCs w:val="22"/>
          <w:lang w:val="zh-TW" w:eastAsia="zh-TW"/>
        </w:rPr>
        <w:t>氨氮</w:t>
      </w:r>
      <w:r>
        <w:rPr>
          <w:rFonts w:hint="eastAsia" w:cs="Times New Roman"/>
          <w:sz w:val="24"/>
          <w:szCs w:val="22"/>
        </w:rPr>
        <w:t>3.35kg</w:t>
      </w:r>
      <w:r>
        <w:rPr>
          <w:rFonts w:cs="Times New Roman"/>
          <w:sz w:val="24"/>
          <w:szCs w:val="22"/>
        </w:rPr>
        <w:t>/a。</w:t>
      </w:r>
      <w:r>
        <w:rPr>
          <w:rFonts w:cs="Times New Roman"/>
          <w:sz w:val="24"/>
          <w:szCs w:val="24"/>
        </w:rPr>
        <w:t>桂花水库水源保护区农村农业面源污染排放情况详见表3-</w:t>
      </w:r>
      <w:r>
        <w:rPr>
          <w:rFonts w:hint="eastAsia" w:cs="Times New Roman"/>
          <w:sz w:val="24"/>
          <w:szCs w:val="24"/>
        </w:rPr>
        <w:t>4</w:t>
      </w:r>
      <w:r>
        <w:rPr>
          <w:rFonts w:cs="Times New Roman"/>
          <w:sz w:val="24"/>
          <w:szCs w:val="24"/>
        </w:rPr>
        <w:t>。</w:t>
      </w:r>
    </w:p>
    <w:p>
      <w:pPr>
        <w:ind w:firstLine="482"/>
        <w:jc w:val="center"/>
        <w:rPr>
          <w:rFonts w:cs="Times New Roman"/>
          <w:b/>
          <w:sz w:val="21"/>
          <w:szCs w:val="21"/>
        </w:rPr>
      </w:pPr>
      <w:r>
        <w:rPr>
          <w:rFonts w:cs="Times New Roman"/>
          <w:b/>
          <w:szCs w:val="24"/>
        </w:rPr>
        <w:t>表3-</w:t>
      </w:r>
      <w:r>
        <w:rPr>
          <w:rFonts w:hint="eastAsia" w:cs="Times New Roman"/>
          <w:b/>
          <w:szCs w:val="24"/>
        </w:rPr>
        <w:t>4</w:t>
      </w:r>
      <w:r>
        <w:rPr>
          <w:rFonts w:cs="Times New Roman"/>
          <w:b/>
          <w:szCs w:val="24"/>
        </w:rPr>
        <w:t>桂花水库水源保护区农村农业面源污染排放量</w:t>
      </w:r>
    </w:p>
    <w:tbl>
      <w:tblPr>
        <w:tblStyle w:val="23"/>
        <w:tblW w:w="8336" w:type="dxa"/>
        <w:jc w:val="center"/>
        <w:tblLayout w:type="fixed"/>
        <w:tblCellMar>
          <w:top w:w="15" w:type="dxa"/>
          <w:left w:w="15" w:type="dxa"/>
          <w:bottom w:w="15" w:type="dxa"/>
          <w:right w:w="15" w:type="dxa"/>
        </w:tblCellMar>
      </w:tblPr>
      <w:tblGrid>
        <w:gridCol w:w="1841"/>
        <w:gridCol w:w="1518"/>
        <w:gridCol w:w="1974"/>
        <w:gridCol w:w="1501"/>
        <w:gridCol w:w="1502"/>
      </w:tblGrid>
      <w:tr>
        <w:tblPrEx>
          <w:tblCellMar>
            <w:top w:w="15" w:type="dxa"/>
            <w:left w:w="15" w:type="dxa"/>
            <w:bottom w:w="15" w:type="dxa"/>
            <w:right w:w="15" w:type="dxa"/>
          </w:tblCellMar>
        </w:tblPrEx>
        <w:trPr>
          <w:trHeight w:val="621" w:hRule="atLeast"/>
          <w:tblHeader/>
          <w:jc w:val="center"/>
        </w:trPr>
        <w:tc>
          <w:tcPr>
            <w:tcW w:w="1841"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cs="Times New Roman"/>
                <w:bCs/>
                <w:color w:val="000000"/>
                <w:sz w:val="21"/>
                <w:szCs w:val="21"/>
              </w:rPr>
            </w:pPr>
            <w:r>
              <w:rPr>
                <w:rFonts w:cs="Times New Roman"/>
                <w:bCs/>
                <w:color w:val="000000"/>
                <w:kern w:val="0"/>
                <w:sz w:val="21"/>
                <w:szCs w:val="21"/>
                <w:lang w:bidi="ar"/>
              </w:rPr>
              <w:t>污染源类别</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cs="Times New Roman"/>
                <w:bCs/>
                <w:color w:val="000000"/>
                <w:sz w:val="21"/>
                <w:szCs w:val="21"/>
              </w:rPr>
            </w:pPr>
            <w:r>
              <w:rPr>
                <w:rFonts w:cs="Times New Roman"/>
                <w:bCs/>
                <w:color w:val="000000"/>
                <w:kern w:val="0"/>
                <w:sz w:val="21"/>
                <w:szCs w:val="21"/>
                <w:lang w:bidi="ar"/>
              </w:rPr>
              <w:t>COD</w:t>
            </w:r>
            <w:r>
              <w:rPr>
                <w:rFonts w:hint="eastAsia" w:cs="Times New Roman"/>
                <w:bCs/>
                <w:color w:val="000000"/>
                <w:kern w:val="0"/>
                <w:sz w:val="21"/>
                <w:szCs w:val="21"/>
                <w:lang w:bidi="ar"/>
              </w:rPr>
              <w:t>（kg/a）</w:t>
            </w:r>
          </w:p>
        </w:tc>
        <w:tc>
          <w:tcPr>
            <w:tcW w:w="1974"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cs="Times New Roman"/>
                <w:bCs/>
                <w:color w:val="000000"/>
                <w:sz w:val="21"/>
                <w:szCs w:val="21"/>
              </w:rPr>
            </w:pPr>
            <w:r>
              <w:rPr>
                <w:rFonts w:cs="Times New Roman"/>
                <w:color w:val="000000"/>
                <w:kern w:val="0"/>
                <w:sz w:val="21"/>
                <w:szCs w:val="21"/>
                <w:lang w:bidi="ar"/>
              </w:rPr>
              <w:t>NH</w:t>
            </w:r>
            <w:r>
              <w:rPr>
                <w:rFonts w:cs="Times New Roman"/>
                <w:color w:val="000000"/>
                <w:kern w:val="0"/>
                <w:sz w:val="21"/>
                <w:szCs w:val="21"/>
                <w:vertAlign w:val="subscript"/>
                <w:lang w:bidi="ar"/>
              </w:rPr>
              <w:t>3</w:t>
            </w:r>
            <w:r>
              <w:rPr>
                <w:rFonts w:cs="Times New Roman"/>
                <w:color w:val="000000"/>
                <w:kern w:val="0"/>
                <w:sz w:val="21"/>
                <w:szCs w:val="21"/>
                <w:lang w:bidi="ar"/>
              </w:rPr>
              <w:t>-N</w:t>
            </w:r>
            <w:r>
              <w:rPr>
                <w:rFonts w:hint="eastAsia" w:cs="Times New Roman"/>
                <w:bCs/>
                <w:color w:val="000000"/>
                <w:kern w:val="0"/>
                <w:sz w:val="21"/>
                <w:szCs w:val="21"/>
                <w:lang w:bidi="ar"/>
              </w:rPr>
              <w:t>（kg/a）</w:t>
            </w:r>
          </w:p>
        </w:tc>
        <w:tc>
          <w:tcPr>
            <w:tcW w:w="1501"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cs="Times New Roman"/>
                <w:bCs/>
                <w:color w:val="000000"/>
                <w:sz w:val="21"/>
                <w:szCs w:val="21"/>
              </w:rPr>
            </w:pPr>
            <w:r>
              <w:rPr>
                <w:rFonts w:cs="Times New Roman"/>
                <w:color w:val="000000"/>
                <w:kern w:val="0"/>
                <w:sz w:val="21"/>
                <w:szCs w:val="21"/>
                <w:lang w:bidi="ar"/>
              </w:rPr>
              <w:t>TN</w:t>
            </w:r>
            <w:r>
              <w:rPr>
                <w:rFonts w:hint="eastAsia" w:cs="Times New Roman"/>
                <w:bCs/>
                <w:color w:val="000000"/>
                <w:kern w:val="0"/>
                <w:sz w:val="21"/>
                <w:szCs w:val="21"/>
                <w:lang w:bidi="ar"/>
              </w:rPr>
              <w:t>（kg/a）</w:t>
            </w:r>
          </w:p>
        </w:tc>
        <w:tc>
          <w:tcPr>
            <w:tcW w:w="1502"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cs="Times New Roman"/>
                <w:bCs/>
                <w:color w:val="000000"/>
                <w:sz w:val="21"/>
                <w:szCs w:val="21"/>
              </w:rPr>
            </w:pPr>
            <w:r>
              <w:rPr>
                <w:rFonts w:cs="Times New Roman"/>
                <w:color w:val="000000"/>
                <w:kern w:val="0"/>
                <w:sz w:val="21"/>
                <w:szCs w:val="21"/>
                <w:lang w:bidi="ar"/>
              </w:rPr>
              <w:t>TP</w:t>
            </w:r>
            <w:r>
              <w:rPr>
                <w:rFonts w:hint="eastAsia" w:cs="Times New Roman"/>
                <w:bCs/>
                <w:color w:val="000000"/>
                <w:kern w:val="0"/>
                <w:sz w:val="21"/>
                <w:szCs w:val="21"/>
                <w:lang w:bidi="ar"/>
              </w:rPr>
              <w:t>（kg/a）</w:t>
            </w:r>
          </w:p>
        </w:tc>
      </w:tr>
      <w:tr>
        <w:tblPrEx>
          <w:tblCellMar>
            <w:top w:w="15" w:type="dxa"/>
            <w:left w:w="15" w:type="dxa"/>
            <w:bottom w:w="15" w:type="dxa"/>
            <w:right w:w="15" w:type="dxa"/>
          </w:tblCellMar>
        </w:tblPrEx>
        <w:trPr>
          <w:trHeight w:val="397" w:hRule="atLeast"/>
          <w:jc w:val="center"/>
        </w:trPr>
        <w:tc>
          <w:tcPr>
            <w:tcW w:w="1841"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cs="Times New Roman"/>
                <w:color w:val="000000"/>
                <w:sz w:val="21"/>
                <w:szCs w:val="21"/>
              </w:rPr>
            </w:pPr>
            <w:r>
              <w:rPr>
                <w:rFonts w:cs="Times New Roman"/>
                <w:color w:val="000000"/>
                <w:kern w:val="0"/>
                <w:sz w:val="21"/>
                <w:szCs w:val="21"/>
                <w:lang w:bidi="ar"/>
              </w:rPr>
              <w:t>农田固废</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cs="Times New Roman"/>
                <w:color w:val="000000"/>
                <w:sz w:val="21"/>
                <w:szCs w:val="21"/>
              </w:rPr>
            </w:pPr>
            <w:r>
              <w:rPr>
                <w:rStyle w:val="44"/>
              </w:rPr>
              <w:t>--</w:t>
            </w:r>
          </w:p>
        </w:tc>
        <w:tc>
          <w:tcPr>
            <w:tcW w:w="1974"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center"/>
              <w:rPr>
                <w:rFonts w:cs="Times New Roman"/>
                <w:color w:val="000000"/>
                <w:sz w:val="21"/>
                <w:szCs w:val="21"/>
              </w:rPr>
            </w:pPr>
            <w:r>
              <w:rPr>
                <w:rFonts w:hint="eastAsia" w:eastAsia="仿宋" w:cs="Times New Roman"/>
                <w:color w:val="000000"/>
                <w:sz w:val="21"/>
                <w:szCs w:val="21"/>
              </w:rPr>
              <w:t>3.35</w:t>
            </w:r>
          </w:p>
        </w:tc>
        <w:tc>
          <w:tcPr>
            <w:tcW w:w="1501"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eastAsia="仿宋" w:cs="Times New Roman"/>
                <w:color w:val="000000"/>
                <w:sz w:val="21"/>
                <w:szCs w:val="21"/>
              </w:rPr>
            </w:pPr>
            <w:r>
              <w:rPr>
                <w:rFonts w:hint="eastAsia" w:eastAsia="仿宋" w:cs="Times New Roman"/>
                <w:color w:val="000000"/>
                <w:kern w:val="0"/>
                <w:sz w:val="21"/>
                <w:szCs w:val="21"/>
                <w:lang w:bidi="ar"/>
              </w:rPr>
              <w:t>6.7</w:t>
            </w:r>
          </w:p>
        </w:tc>
        <w:tc>
          <w:tcPr>
            <w:tcW w:w="1502"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eastAsia="仿宋" w:cs="Times New Roman"/>
                <w:color w:val="000000"/>
                <w:sz w:val="21"/>
                <w:szCs w:val="21"/>
              </w:rPr>
            </w:pPr>
            <w:r>
              <w:rPr>
                <w:rFonts w:hint="eastAsia" w:cs="Times New Roman"/>
                <w:color w:val="000000"/>
                <w:sz w:val="21"/>
                <w:szCs w:val="21"/>
              </w:rPr>
              <w:t>0.59</w:t>
            </w:r>
          </w:p>
        </w:tc>
      </w:tr>
      <w:tr>
        <w:tblPrEx>
          <w:tblCellMar>
            <w:top w:w="15" w:type="dxa"/>
            <w:left w:w="15" w:type="dxa"/>
            <w:bottom w:w="15" w:type="dxa"/>
            <w:right w:w="15" w:type="dxa"/>
          </w:tblCellMar>
        </w:tblPrEx>
        <w:trPr>
          <w:trHeight w:val="397" w:hRule="atLeast"/>
          <w:jc w:val="center"/>
        </w:trPr>
        <w:tc>
          <w:tcPr>
            <w:tcW w:w="1841"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cs="Times New Roman"/>
                <w:color w:val="000000"/>
                <w:sz w:val="21"/>
                <w:szCs w:val="21"/>
              </w:rPr>
            </w:pPr>
            <w:r>
              <w:rPr>
                <w:rFonts w:cs="Times New Roman"/>
                <w:color w:val="000000"/>
                <w:kern w:val="0"/>
                <w:sz w:val="21"/>
                <w:szCs w:val="21"/>
                <w:lang w:bidi="ar"/>
              </w:rPr>
              <w:t>农田化肥</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cs="Times New Roman"/>
                <w:color w:val="000000"/>
                <w:sz w:val="21"/>
                <w:szCs w:val="21"/>
              </w:rPr>
            </w:pPr>
            <w:r>
              <w:rPr>
                <w:rStyle w:val="44"/>
              </w:rPr>
              <w:t>--</w:t>
            </w:r>
          </w:p>
        </w:tc>
        <w:tc>
          <w:tcPr>
            <w:tcW w:w="1974"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center"/>
              <w:rPr>
                <w:rFonts w:eastAsia="仿宋" w:cs="Times New Roman"/>
                <w:color w:val="000000"/>
                <w:sz w:val="21"/>
                <w:szCs w:val="21"/>
              </w:rPr>
            </w:pPr>
            <w:r>
              <w:rPr>
                <w:rFonts w:hint="eastAsia" w:cs="Times New Roman"/>
                <w:color w:val="000000"/>
                <w:sz w:val="21"/>
                <w:szCs w:val="21"/>
              </w:rPr>
              <w:t>3.4</w:t>
            </w:r>
          </w:p>
        </w:tc>
        <w:tc>
          <w:tcPr>
            <w:tcW w:w="1501"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eastAsia="仿宋" w:cs="Times New Roman"/>
                <w:color w:val="000000"/>
                <w:sz w:val="21"/>
                <w:szCs w:val="21"/>
              </w:rPr>
            </w:pPr>
            <w:r>
              <w:rPr>
                <w:rFonts w:hint="eastAsia" w:eastAsia="仿宋" w:cs="Times New Roman"/>
                <w:color w:val="000000"/>
                <w:sz w:val="21"/>
                <w:szCs w:val="21"/>
              </w:rPr>
              <w:t>16.84</w:t>
            </w:r>
          </w:p>
        </w:tc>
        <w:tc>
          <w:tcPr>
            <w:tcW w:w="1502"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cs="Times New Roman"/>
                <w:color w:val="000000"/>
                <w:sz w:val="21"/>
                <w:szCs w:val="21"/>
              </w:rPr>
            </w:pPr>
            <w:r>
              <w:rPr>
                <w:rFonts w:hint="eastAsia" w:eastAsia="仿宋" w:cs="Times New Roman"/>
                <w:color w:val="000000"/>
                <w:kern w:val="0"/>
                <w:sz w:val="21"/>
                <w:szCs w:val="21"/>
                <w:lang w:bidi="ar"/>
              </w:rPr>
              <w:t>6.7</w:t>
            </w:r>
          </w:p>
        </w:tc>
      </w:tr>
      <w:tr>
        <w:tblPrEx>
          <w:tblCellMar>
            <w:top w:w="15" w:type="dxa"/>
            <w:left w:w="15" w:type="dxa"/>
            <w:bottom w:w="15" w:type="dxa"/>
            <w:right w:w="15" w:type="dxa"/>
          </w:tblCellMar>
        </w:tblPrEx>
        <w:trPr>
          <w:trHeight w:val="397" w:hRule="atLeast"/>
          <w:jc w:val="center"/>
        </w:trPr>
        <w:tc>
          <w:tcPr>
            <w:tcW w:w="1841"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cs="Times New Roman"/>
                <w:bCs/>
                <w:color w:val="000000"/>
                <w:sz w:val="21"/>
                <w:szCs w:val="21"/>
              </w:rPr>
            </w:pPr>
            <w:r>
              <w:rPr>
                <w:rFonts w:cs="Times New Roman"/>
                <w:bCs/>
                <w:color w:val="000000"/>
                <w:kern w:val="0"/>
                <w:sz w:val="21"/>
                <w:szCs w:val="21"/>
                <w:lang w:bidi="ar"/>
              </w:rPr>
              <w:t>合计</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cs="Times New Roman"/>
                <w:bCs/>
                <w:color w:val="000000"/>
                <w:sz w:val="21"/>
                <w:szCs w:val="21"/>
              </w:rPr>
            </w:pPr>
            <w:r>
              <w:rPr>
                <w:rStyle w:val="44"/>
              </w:rPr>
              <w:t>--</w:t>
            </w:r>
          </w:p>
        </w:tc>
        <w:tc>
          <w:tcPr>
            <w:tcW w:w="1974"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center"/>
              <w:rPr>
                <w:rFonts w:cs="Times New Roman"/>
                <w:bCs/>
                <w:color w:val="000000"/>
                <w:sz w:val="21"/>
                <w:szCs w:val="21"/>
              </w:rPr>
            </w:pPr>
            <w:r>
              <w:rPr>
                <w:rFonts w:hint="eastAsia" w:cs="Times New Roman"/>
                <w:bCs/>
                <w:color w:val="000000"/>
                <w:sz w:val="21"/>
                <w:szCs w:val="21"/>
              </w:rPr>
              <w:t>6.75</w:t>
            </w:r>
          </w:p>
        </w:tc>
        <w:tc>
          <w:tcPr>
            <w:tcW w:w="1501"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cs="Times New Roman"/>
                <w:bCs/>
                <w:color w:val="000000"/>
                <w:sz w:val="21"/>
                <w:szCs w:val="21"/>
              </w:rPr>
            </w:pPr>
            <w:r>
              <w:rPr>
                <w:rFonts w:hint="eastAsia" w:cs="Times New Roman"/>
                <w:bCs/>
                <w:color w:val="000000"/>
                <w:sz w:val="21"/>
                <w:szCs w:val="21"/>
              </w:rPr>
              <w:t>23.54</w:t>
            </w:r>
          </w:p>
        </w:tc>
        <w:tc>
          <w:tcPr>
            <w:tcW w:w="1502"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cs="Times New Roman"/>
                <w:bCs/>
                <w:color w:val="000000"/>
                <w:sz w:val="21"/>
                <w:szCs w:val="21"/>
              </w:rPr>
            </w:pPr>
            <w:r>
              <w:rPr>
                <w:rFonts w:hint="eastAsia" w:cs="Times New Roman"/>
                <w:bCs/>
                <w:color w:val="000000"/>
                <w:sz w:val="21"/>
                <w:szCs w:val="21"/>
              </w:rPr>
              <w:t>7.29</w:t>
            </w:r>
          </w:p>
        </w:tc>
      </w:tr>
    </w:tbl>
    <w:p>
      <w:pPr>
        <w:ind w:firstLine="480"/>
        <w:rPr>
          <w:rFonts w:cs="Times New Roman"/>
          <w:szCs w:val="24"/>
        </w:rPr>
      </w:pPr>
      <w:r>
        <w:rPr>
          <w:rFonts w:cs="Times New Roman"/>
          <w:szCs w:val="24"/>
        </w:rPr>
        <w:t>从表3-</w:t>
      </w:r>
      <w:r>
        <w:rPr>
          <w:rFonts w:hint="eastAsia" w:cs="Times New Roman"/>
          <w:szCs w:val="24"/>
        </w:rPr>
        <w:t>4</w:t>
      </w:r>
      <w:r>
        <w:rPr>
          <w:rFonts w:cs="Times New Roman"/>
          <w:szCs w:val="24"/>
        </w:rPr>
        <w:t>中可以看出，桂花水库水源地农业农村面源污染排放量氨氮、总磷和总氮主要来自于农田化肥。</w:t>
      </w:r>
    </w:p>
    <w:p>
      <w:pPr>
        <w:pStyle w:val="8"/>
        <w:adjustRightInd w:val="0"/>
        <w:spacing w:before="93" w:beforeLines="30" w:line="360" w:lineRule="auto"/>
        <w:ind w:firstLine="480"/>
        <w:rPr>
          <w:rFonts w:cs="Times New Roman"/>
          <w:sz w:val="24"/>
          <w:szCs w:val="24"/>
        </w:rPr>
      </w:pPr>
      <w:r>
        <w:rPr>
          <w:rFonts w:cs="Times New Roman"/>
          <w:sz w:val="24"/>
          <w:szCs w:val="24"/>
        </w:rPr>
        <w:t>桂花水库水源保护区内农业农村面源污染入湖量为氨氮</w:t>
      </w:r>
      <w:r>
        <w:rPr>
          <w:rFonts w:hint="eastAsia" w:cs="Times New Roman"/>
          <w:sz w:val="24"/>
          <w:szCs w:val="24"/>
        </w:rPr>
        <w:t xml:space="preserve">13.4 </w:t>
      </w:r>
      <w:r>
        <w:rPr>
          <w:rFonts w:hint="eastAsia" w:cs="Times New Roman"/>
          <w:sz w:val="24"/>
          <w:szCs w:val="22"/>
        </w:rPr>
        <w:t>kg</w:t>
      </w:r>
      <w:r>
        <w:rPr>
          <w:rFonts w:cs="Times New Roman"/>
          <w:sz w:val="24"/>
          <w:szCs w:val="22"/>
        </w:rPr>
        <w:t>/a</w:t>
      </w:r>
      <w:r>
        <w:rPr>
          <w:rFonts w:cs="Times New Roman"/>
          <w:sz w:val="24"/>
          <w:szCs w:val="24"/>
        </w:rPr>
        <w:t>、总氮</w:t>
      </w:r>
      <w:r>
        <w:rPr>
          <w:rFonts w:hint="eastAsia" w:cs="Times New Roman"/>
          <w:sz w:val="24"/>
          <w:szCs w:val="24"/>
        </w:rPr>
        <w:t xml:space="preserve">47.07 </w:t>
      </w:r>
      <w:r>
        <w:rPr>
          <w:rFonts w:hint="eastAsia" w:cs="Times New Roman"/>
          <w:sz w:val="24"/>
          <w:szCs w:val="22"/>
        </w:rPr>
        <w:t>kg</w:t>
      </w:r>
      <w:r>
        <w:rPr>
          <w:rFonts w:cs="Times New Roman"/>
          <w:sz w:val="24"/>
          <w:szCs w:val="22"/>
        </w:rPr>
        <w:t>/a</w:t>
      </w:r>
      <w:r>
        <w:rPr>
          <w:rFonts w:cs="Times New Roman"/>
          <w:sz w:val="24"/>
          <w:szCs w:val="24"/>
        </w:rPr>
        <w:t>、总磷</w:t>
      </w:r>
      <w:r>
        <w:rPr>
          <w:rFonts w:hint="eastAsia" w:cs="Times New Roman"/>
          <w:sz w:val="24"/>
          <w:szCs w:val="24"/>
        </w:rPr>
        <w:t xml:space="preserve">14.57 </w:t>
      </w:r>
      <w:r>
        <w:rPr>
          <w:rFonts w:hint="eastAsia" w:cs="Times New Roman"/>
          <w:sz w:val="24"/>
          <w:szCs w:val="22"/>
        </w:rPr>
        <w:t>kg</w:t>
      </w:r>
      <w:r>
        <w:rPr>
          <w:rFonts w:cs="Times New Roman"/>
          <w:sz w:val="24"/>
          <w:szCs w:val="22"/>
        </w:rPr>
        <w:t>/a</w:t>
      </w:r>
      <w:r>
        <w:rPr>
          <w:rFonts w:cs="Times New Roman"/>
          <w:sz w:val="24"/>
          <w:szCs w:val="24"/>
        </w:rPr>
        <w:t>。</w:t>
      </w:r>
    </w:p>
    <w:p>
      <w:pPr>
        <w:pStyle w:val="4"/>
        <w:spacing w:line="360" w:lineRule="auto"/>
        <w:rPr>
          <w:rFonts w:cs="Times New Roman"/>
        </w:rPr>
      </w:pPr>
      <w:bookmarkStart w:id="88" w:name="_Toc18475"/>
      <w:r>
        <w:rPr>
          <w:rFonts w:cs="Times New Roman"/>
        </w:rPr>
        <w:t>3.4  饮用水水源地水环境风险分析</w:t>
      </w:r>
      <w:bookmarkEnd w:id="88"/>
    </w:p>
    <w:p>
      <w:pPr>
        <w:ind w:firstLine="480"/>
        <w:rPr>
          <w:rFonts w:cs="Times New Roman"/>
          <w:color w:val="FF0000"/>
          <w:szCs w:val="24"/>
        </w:rPr>
      </w:pPr>
      <w:r>
        <w:rPr>
          <w:rFonts w:cs="Times New Roman"/>
          <w:szCs w:val="24"/>
        </w:rPr>
        <w:t>桂花水库</w:t>
      </w:r>
      <w:r>
        <w:rPr>
          <w:rFonts w:cs="Times New Roman"/>
          <w:color w:val="000000"/>
          <w:kern w:val="0"/>
          <w:szCs w:val="24"/>
        </w:rPr>
        <w:t>周围无运送危险化学品道路、无石油管道等内容。经调查，</w:t>
      </w:r>
      <w:r>
        <w:rPr>
          <w:rFonts w:cs="Times New Roman"/>
          <w:szCs w:val="24"/>
        </w:rPr>
        <w:t>桂花水库</w:t>
      </w:r>
      <w:r>
        <w:rPr>
          <w:rFonts w:cs="Times New Roman"/>
          <w:color w:val="000000"/>
          <w:kern w:val="0"/>
          <w:szCs w:val="24"/>
        </w:rPr>
        <w:t>保护区范围内没有发生重大环境污染事件，突发环境事故历史统计数为零。</w:t>
      </w:r>
    </w:p>
    <w:p>
      <w:pPr>
        <w:pStyle w:val="3"/>
        <w:rPr>
          <w:rFonts w:cs="Times New Roman"/>
        </w:rPr>
      </w:pPr>
      <w:bookmarkStart w:id="89" w:name="_Toc24595_WPSOffice_Level1"/>
      <w:bookmarkStart w:id="90" w:name="_Toc6961_WPSOffice_Level1"/>
      <w:bookmarkStart w:id="91" w:name="_Toc8865"/>
      <w:r>
        <w:rPr>
          <w:rFonts w:cs="Times New Roman"/>
        </w:rPr>
        <w:t>第四章  保护区划分与定界</w:t>
      </w:r>
      <w:bookmarkEnd w:id="89"/>
      <w:bookmarkEnd w:id="90"/>
      <w:bookmarkEnd w:id="91"/>
    </w:p>
    <w:p>
      <w:pPr>
        <w:pStyle w:val="4"/>
        <w:spacing w:line="360" w:lineRule="auto"/>
        <w:rPr>
          <w:rFonts w:cs="Times New Roman"/>
        </w:rPr>
      </w:pPr>
      <w:bookmarkStart w:id="92" w:name="_Toc31825"/>
      <w:r>
        <w:rPr>
          <w:rFonts w:cs="Times New Roman"/>
        </w:rPr>
        <w:t>4.1  水环境功能</w:t>
      </w:r>
      <w:bookmarkEnd w:id="92"/>
    </w:p>
    <w:p>
      <w:pPr>
        <w:ind w:firstLine="480"/>
        <w:rPr>
          <w:rFonts w:cs="Times New Roman"/>
        </w:rPr>
      </w:pPr>
      <w:r>
        <w:rPr>
          <w:rFonts w:cs="Times New Roman"/>
        </w:rPr>
        <w:t>根据《富源县桂花水库工程可行性研究报告》，桂花水库为年调节水库，是一个以人畜饮水为主的小（二）型水库工程。设计解决水库下游庆云、小冲两个村委会7571人，大牲畜1311头，小牲畜1.18万头的饮水。桂花水库于2014年列入（2014-2016年）中央抗旱水源工程。桂花水库径流在小木桥村汇入嘉河，经过嘉河最终汇入北盘江。</w:t>
      </w:r>
    </w:p>
    <w:p>
      <w:pPr>
        <w:pStyle w:val="37"/>
        <w:spacing w:before="156" w:after="156"/>
      </w:pPr>
      <w:r>
        <w:t>表4-1  富源县桂花水库水环境功能</w:t>
      </w:r>
    </w:p>
    <w:tbl>
      <w:tblPr>
        <w:tblStyle w:val="23"/>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220"/>
        <w:gridCol w:w="1413"/>
        <w:gridCol w:w="1413"/>
        <w:gridCol w:w="1375"/>
        <w:gridCol w:w="2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220" w:type="dxa"/>
            <w:vAlign w:val="center"/>
          </w:tcPr>
          <w:p>
            <w:pPr>
              <w:pStyle w:val="33"/>
            </w:pPr>
            <w:r>
              <w:t>水系名称</w:t>
            </w:r>
          </w:p>
        </w:tc>
        <w:tc>
          <w:tcPr>
            <w:tcW w:w="1413" w:type="dxa"/>
          </w:tcPr>
          <w:p>
            <w:pPr>
              <w:pStyle w:val="33"/>
            </w:pPr>
            <w:r>
              <w:t>二级水系</w:t>
            </w:r>
          </w:p>
        </w:tc>
        <w:tc>
          <w:tcPr>
            <w:tcW w:w="1413" w:type="dxa"/>
            <w:vAlign w:val="center"/>
          </w:tcPr>
          <w:p>
            <w:pPr>
              <w:pStyle w:val="33"/>
            </w:pPr>
            <w:r>
              <w:t>水库</w:t>
            </w:r>
          </w:p>
        </w:tc>
        <w:tc>
          <w:tcPr>
            <w:tcW w:w="1375" w:type="dxa"/>
            <w:vAlign w:val="center"/>
          </w:tcPr>
          <w:p>
            <w:pPr>
              <w:pStyle w:val="33"/>
            </w:pPr>
            <w:r>
              <w:t>水面名称</w:t>
            </w:r>
          </w:p>
        </w:tc>
        <w:tc>
          <w:tcPr>
            <w:tcW w:w="2938" w:type="dxa"/>
            <w:vAlign w:val="center"/>
          </w:tcPr>
          <w:p>
            <w:pPr>
              <w:pStyle w:val="33"/>
            </w:pPr>
            <w:r>
              <w:t>水环境功能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220" w:type="dxa"/>
            <w:vAlign w:val="center"/>
          </w:tcPr>
          <w:p>
            <w:pPr>
              <w:pStyle w:val="33"/>
            </w:pPr>
            <w:r>
              <w:t>珠江</w:t>
            </w:r>
          </w:p>
        </w:tc>
        <w:tc>
          <w:tcPr>
            <w:tcW w:w="1413" w:type="dxa"/>
          </w:tcPr>
          <w:p>
            <w:pPr>
              <w:pStyle w:val="33"/>
            </w:pPr>
            <w:r>
              <w:t>北盘江</w:t>
            </w:r>
          </w:p>
        </w:tc>
        <w:tc>
          <w:tcPr>
            <w:tcW w:w="1413" w:type="dxa"/>
            <w:vAlign w:val="center"/>
          </w:tcPr>
          <w:p>
            <w:pPr>
              <w:pStyle w:val="33"/>
            </w:pPr>
            <w:r>
              <w:t>桂花水库</w:t>
            </w:r>
          </w:p>
        </w:tc>
        <w:tc>
          <w:tcPr>
            <w:tcW w:w="1375" w:type="dxa"/>
            <w:vAlign w:val="center"/>
          </w:tcPr>
          <w:p>
            <w:pPr>
              <w:pStyle w:val="33"/>
            </w:pPr>
            <w:r>
              <w:t>全库</w:t>
            </w:r>
          </w:p>
        </w:tc>
        <w:tc>
          <w:tcPr>
            <w:tcW w:w="2938" w:type="dxa"/>
            <w:vAlign w:val="center"/>
          </w:tcPr>
          <w:p>
            <w:pPr>
              <w:pStyle w:val="33"/>
            </w:pPr>
            <w:r>
              <w:t>农村饮用水、农业用水</w:t>
            </w:r>
          </w:p>
        </w:tc>
      </w:tr>
    </w:tbl>
    <w:p>
      <w:pPr>
        <w:ind w:firstLine="0" w:firstLineChars="0"/>
        <w:rPr>
          <w:rFonts w:cs="Times New Roman"/>
        </w:rPr>
      </w:pPr>
    </w:p>
    <w:p>
      <w:pPr>
        <w:pStyle w:val="4"/>
        <w:spacing w:line="360" w:lineRule="auto"/>
        <w:rPr>
          <w:rFonts w:cs="Times New Roman"/>
        </w:rPr>
      </w:pPr>
      <w:bookmarkStart w:id="93" w:name="_Toc1015"/>
      <w:r>
        <w:rPr>
          <w:rFonts w:cs="Times New Roman"/>
        </w:rPr>
        <w:t>4.2  保护区划分原则</w:t>
      </w:r>
      <w:bookmarkEnd w:id="93"/>
    </w:p>
    <w:p>
      <w:pPr>
        <w:ind w:firstLine="480"/>
        <w:rPr>
          <w:rFonts w:cs="Times New Roman"/>
        </w:rPr>
      </w:pPr>
      <w:r>
        <w:rPr>
          <w:rFonts w:cs="Times New Roman"/>
        </w:rPr>
        <w:t>饮用水水源一级保护区为防止人为活动对取水口的直接污染，确保取水口水质安全而划定需加以严格限制的核心区域；饮用水水源二级保护区为防止污染源对饮用水水源水质的直接影响，保证饮用水水源一级保护区水质而划定，需加以严格控制的重点区域；饮用水水源准保护区是在饮用水水源二级保护区外，为涵养水源、控制污染源对饮用水水质的影响，保证饮用水水源二级保护区的水质而划定，需实施水污染总量控制和生态保护的区域。</w:t>
      </w:r>
    </w:p>
    <w:p>
      <w:pPr>
        <w:ind w:firstLine="480"/>
        <w:rPr>
          <w:rFonts w:cs="Times New Roman"/>
        </w:rPr>
      </w:pPr>
      <w:r>
        <w:rPr>
          <w:rFonts w:cs="Times New Roman"/>
        </w:rPr>
        <w:t>桂花水库设计总库容为27万m</w:t>
      </w:r>
      <w:r>
        <w:rPr>
          <w:rFonts w:cs="Times New Roman"/>
          <w:vertAlign w:val="superscript"/>
        </w:rPr>
        <w:t>3</w:t>
      </w:r>
      <w:r>
        <w:rPr>
          <w:rFonts w:cs="Times New Roman"/>
        </w:rPr>
        <w:t>，根据湖泊、水库型饮用水水源地分级标准，该水库是一座小型水库。采用类比经验法确定饮用水源一级保护区水域和陆域范围；采用地形边界法确定饮用水源二级保护区水域和陆域范围；由于水库规模小，水质为II类饮用水，径流范围内无重大污染，故不设立准保护区。</w:t>
      </w:r>
    </w:p>
    <w:p>
      <w:pPr>
        <w:ind w:firstLine="480"/>
        <w:rPr>
          <w:rFonts w:cs="Times New Roman"/>
        </w:rPr>
      </w:pPr>
      <w:r>
        <w:rPr>
          <w:rFonts w:cs="Times New Roman"/>
        </w:rPr>
        <w:t>保护区定界按照</w:t>
      </w:r>
      <w:r>
        <w:rPr>
          <w:rFonts w:hint="eastAsia" w:cs="Times New Roman"/>
        </w:rPr>
        <w:t>“</w:t>
      </w:r>
      <w:r>
        <w:rPr>
          <w:rFonts w:cs="Times New Roman"/>
        </w:rPr>
        <w:t>保护和防范为主，可操作和易管理为辅</w:t>
      </w:r>
      <w:r>
        <w:rPr>
          <w:rFonts w:hint="eastAsia" w:cs="Times New Roman"/>
        </w:rPr>
        <w:t>”</w:t>
      </w:r>
      <w:r>
        <w:rPr>
          <w:rFonts w:cs="Times New Roman"/>
        </w:rPr>
        <w:t>的原则，通过实地考核边界，在GIS软件平台完成保护区界线定界。</w:t>
      </w:r>
    </w:p>
    <w:p>
      <w:pPr>
        <w:pStyle w:val="4"/>
        <w:spacing w:line="360" w:lineRule="auto"/>
        <w:rPr>
          <w:rFonts w:cs="Times New Roman"/>
        </w:rPr>
      </w:pPr>
      <w:bookmarkStart w:id="94" w:name="_Toc32531"/>
      <w:r>
        <w:rPr>
          <w:rFonts w:cs="Times New Roman"/>
        </w:rPr>
        <w:t>4.3  划分方案</w:t>
      </w:r>
      <w:bookmarkEnd w:id="94"/>
    </w:p>
    <w:p>
      <w:pPr>
        <w:pStyle w:val="5"/>
        <w:spacing w:line="360" w:lineRule="auto"/>
        <w:rPr>
          <w:rFonts w:cs="Times New Roman"/>
        </w:rPr>
      </w:pPr>
      <w:bookmarkStart w:id="95" w:name="_Toc9990"/>
      <w:r>
        <w:rPr>
          <w:rFonts w:cs="Times New Roman"/>
        </w:rPr>
        <w:t>4.3.1  一级保护区划分方案</w:t>
      </w:r>
      <w:bookmarkEnd w:id="95"/>
    </w:p>
    <w:p>
      <w:pPr>
        <w:ind w:firstLine="480"/>
        <w:rPr>
          <w:rFonts w:cs="Times New Roman"/>
        </w:rPr>
      </w:pPr>
      <w:r>
        <w:rPr>
          <w:rFonts w:cs="Times New Roman"/>
        </w:rPr>
        <w:t>4.3.1.1  一级保护区水域划分方案</w:t>
      </w:r>
    </w:p>
    <w:p>
      <w:pPr>
        <w:ind w:firstLine="480"/>
        <w:rPr>
          <w:rFonts w:cs="Times New Roman"/>
        </w:rPr>
      </w:pPr>
      <w:r>
        <w:rPr>
          <w:rFonts w:cs="Times New Roman"/>
        </w:rPr>
        <w:t xml:space="preserve">将水库正常蓄水位下水域范围作为一级保护区水域范围。 </w:t>
      </w:r>
    </w:p>
    <w:p>
      <w:pPr>
        <w:ind w:firstLine="480"/>
        <w:rPr>
          <w:rFonts w:cs="Times New Roman"/>
        </w:rPr>
      </w:pPr>
      <w:r>
        <w:rPr>
          <w:rFonts w:cs="Times New Roman"/>
        </w:rPr>
        <w:t>4.3.1.2  一级保护区陆域划分方案</w:t>
      </w:r>
    </w:p>
    <w:p>
      <w:pPr>
        <w:ind w:firstLine="480"/>
        <w:rPr>
          <w:rFonts w:cs="Times New Roman"/>
        </w:rPr>
      </w:pPr>
      <w:r>
        <w:rPr>
          <w:rFonts w:cs="Times New Roman"/>
        </w:rPr>
        <w:t>正常蓄水位2112.62m等高线外延200</w:t>
      </w:r>
      <w:r>
        <w:rPr>
          <w:rFonts w:hint="eastAsia" w:cs="Times New Roman"/>
        </w:rPr>
        <w:t>m</w:t>
      </w:r>
      <w:r>
        <w:rPr>
          <w:rFonts w:cs="Times New Roman"/>
        </w:rPr>
        <w:t>范围作为一级保护区陆域范围。</w:t>
      </w:r>
    </w:p>
    <w:p>
      <w:pPr>
        <w:pStyle w:val="5"/>
        <w:spacing w:line="360" w:lineRule="auto"/>
        <w:rPr>
          <w:rFonts w:cs="Times New Roman"/>
        </w:rPr>
      </w:pPr>
      <w:bookmarkStart w:id="96" w:name="_Toc13571"/>
      <w:r>
        <w:rPr>
          <w:rFonts w:cs="Times New Roman"/>
        </w:rPr>
        <w:t>4.3.2  二级保护区划分方案</w:t>
      </w:r>
      <w:bookmarkEnd w:id="96"/>
    </w:p>
    <w:p>
      <w:pPr>
        <w:ind w:firstLine="480"/>
        <w:rPr>
          <w:rFonts w:cs="Times New Roman"/>
        </w:rPr>
      </w:pPr>
      <w:r>
        <w:rPr>
          <w:rFonts w:cs="Times New Roman"/>
        </w:rPr>
        <w:t>4.3.2.1  二级保护区水域划分方案</w:t>
      </w:r>
    </w:p>
    <w:p>
      <w:pPr>
        <w:ind w:firstLine="480"/>
        <w:rPr>
          <w:rFonts w:cs="Times New Roman"/>
        </w:rPr>
      </w:pPr>
      <w:r>
        <w:rPr>
          <w:rFonts w:cs="Times New Roman"/>
        </w:rPr>
        <w:t>桂花水库径流范围内，无常流河，有一处地下水形成的浑水塘，浑水塘为水库补给水源之一。浑水塘常年积水范围划为二级保护区水域范围。</w:t>
      </w:r>
    </w:p>
    <w:p>
      <w:pPr>
        <w:ind w:firstLine="480"/>
        <w:rPr>
          <w:rFonts w:cs="Times New Roman"/>
        </w:rPr>
      </w:pPr>
      <w:r>
        <w:rPr>
          <w:rFonts w:cs="Times New Roman"/>
        </w:rPr>
        <w:t>4.3.2.2  二级保护区陆域划分方案</w:t>
      </w:r>
    </w:p>
    <w:p>
      <w:pPr>
        <w:ind w:firstLine="480"/>
        <w:rPr>
          <w:rFonts w:cs="Times New Roman"/>
        </w:rPr>
      </w:pPr>
      <w:r>
        <w:rPr>
          <w:rFonts w:cs="Times New Roman"/>
        </w:rPr>
        <w:t xml:space="preserve">将桂花水库径流范围内剩余其他陆域全部划为二级保护区陆域范围。 </w:t>
      </w:r>
    </w:p>
    <w:p>
      <w:pPr>
        <w:pStyle w:val="4"/>
        <w:spacing w:line="360" w:lineRule="auto"/>
        <w:rPr>
          <w:rFonts w:cs="Times New Roman"/>
        </w:rPr>
      </w:pPr>
      <w:bookmarkStart w:id="97" w:name="_Toc17531"/>
      <w:r>
        <w:rPr>
          <w:rFonts w:cs="Times New Roman"/>
        </w:rPr>
        <w:t>4.4  保护区定界方案和技术说明</w:t>
      </w:r>
      <w:bookmarkEnd w:id="97"/>
    </w:p>
    <w:p>
      <w:pPr>
        <w:pStyle w:val="5"/>
        <w:spacing w:line="360" w:lineRule="auto"/>
        <w:rPr>
          <w:rFonts w:cs="Times New Roman"/>
        </w:rPr>
      </w:pPr>
      <w:bookmarkStart w:id="98" w:name="_Toc18680"/>
      <w:r>
        <w:rPr>
          <w:rFonts w:cs="Times New Roman"/>
        </w:rPr>
        <w:t>4.4.1  一级保护区定界方案</w:t>
      </w:r>
      <w:bookmarkEnd w:id="98"/>
    </w:p>
    <w:p>
      <w:pPr>
        <w:ind w:firstLine="480"/>
        <w:rPr>
          <w:rFonts w:cs="Times New Roman"/>
        </w:rPr>
      </w:pPr>
      <w:r>
        <w:rPr>
          <w:rFonts w:cs="Times New Roman"/>
        </w:rPr>
        <w:t>4.4.1.1  一级保护区水域定界方案</w:t>
      </w:r>
    </w:p>
    <w:p>
      <w:pPr>
        <w:ind w:firstLine="480"/>
        <w:rPr>
          <w:rFonts w:cs="Times New Roman"/>
        </w:rPr>
      </w:pPr>
      <w:r>
        <w:rPr>
          <w:rFonts w:cs="Times New Roman"/>
        </w:rPr>
        <w:t>由于桂花水库是新建水库，截止环境状况调查时，水库水位尚未达到设计正常蓄水位2112.62 m。在ArcGIS软件平台，提取地形图中2112.62 m等高线，并根据影像中可见的工程施工状况绘制一级保护区水域边界。一级保护区水域面积为4.56 hm</w:t>
      </w:r>
      <w:r>
        <w:rPr>
          <w:rFonts w:cs="Times New Roman"/>
          <w:vertAlign w:val="superscript"/>
        </w:rPr>
        <w:t>2</w:t>
      </w:r>
      <w:r>
        <w:rPr>
          <w:rFonts w:cs="Times New Roman"/>
        </w:rPr>
        <w:t>，占径流面积的2.52%，拐点坐标见表4-3。</w:t>
      </w:r>
    </w:p>
    <w:p>
      <w:pPr>
        <w:ind w:firstLine="480"/>
        <w:rPr>
          <w:rFonts w:cs="Times New Roman"/>
        </w:rPr>
      </w:pPr>
      <w:r>
        <w:rPr>
          <w:rFonts w:cs="Times New Roman"/>
        </w:rPr>
        <w:t>4.4.1.2  一级保护区陆域定界方案</w:t>
      </w:r>
    </w:p>
    <w:p>
      <w:pPr>
        <w:ind w:firstLine="480"/>
        <w:rPr>
          <w:rFonts w:cs="Times New Roman"/>
        </w:rPr>
      </w:pPr>
      <w:r>
        <w:rPr>
          <w:rFonts w:cs="Times New Roman"/>
        </w:rPr>
        <w:t>在ArcGIS软件平台，根据一级保护区水域边界，制作200 m缓冲区。由于直接计算出的陆域边界存在界线不明确，不易于操作和管理，故根据影像图适当调整一级保护区陆域范围，尽量让其与地物、地形吻合。一级保护区陆域范围北以桂花村用于农业生产的村道为界；东以桂花大坝为界；南和西为水库正常蓄水位的200 m距离为界。一级保护区陆域面积为24.40 hm</w:t>
      </w:r>
      <w:r>
        <w:rPr>
          <w:rFonts w:cs="Times New Roman"/>
          <w:vertAlign w:val="superscript"/>
        </w:rPr>
        <w:t>2</w:t>
      </w:r>
      <w:r>
        <w:rPr>
          <w:rFonts w:cs="Times New Roman"/>
        </w:rPr>
        <w:t>，占径流面积的13.48%，拐点坐标见表4-3。</w:t>
      </w:r>
    </w:p>
    <w:p>
      <w:pPr>
        <w:pStyle w:val="5"/>
        <w:spacing w:line="360" w:lineRule="auto"/>
        <w:rPr>
          <w:rFonts w:cs="Times New Roman"/>
        </w:rPr>
      </w:pPr>
      <w:bookmarkStart w:id="99" w:name="_Toc17729"/>
      <w:r>
        <w:rPr>
          <w:rFonts w:cs="Times New Roman"/>
        </w:rPr>
        <w:t>4.4.2  二级保护区定界方案</w:t>
      </w:r>
      <w:bookmarkEnd w:id="99"/>
    </w:p>
    <w:p>
      <w:pPr>
        <w:ind w:firstLine="480"/>
        <w:rPr>
          <w:rFonts w:cs="Times New Roman"/>
        </w:rPr>
      </w:pPr>
      <w:r>
        <w:rPr>
          <w:rFonts w:cs="Times New Roman"/>
        </w:rPr>
        <w:t>4.4.2.1  二级保护区水域定界方案</w:t>
      </w:r>
    </w:p>
    <w:p>
      <w:pPr>
        <w:ind w:firstLine="480"/>
        <w:rPr>
          <w:rFonts w:cs="Times New Roman"/>
        </w:rPr>
      </w:pPr>
      <w:r>
        <w:rPr>
          <w:rFonts w:cs="Times New Roman"/>
        </w:rPr>
        <w:t>使用多年历史谷歌地球影像提取浑水塘常年积水范围作为二级保护区水域范围。二级保护区水域面积为0.30 hm</w:t>
      </w:r>
      <w:r>
        <w:rPr>
          <w:rFonts w:cs="Times New Roman"/>
          <w:vertAlign w:val="superscript"/>
        </w:rPr>
        <w:t>2</w:t>
      </w:r>
      <w:r>
        <w:rPr>
          <w:rFonts w:cs="Times New Roman"/>
        </w:rPr>
        <w:t>，占径流面积的0.17%，拐点坐标见表4-3。</w:t>
      </w:r>
    </w:p>
    <w:p>
      <w:pPr>
        <w:ind w:firstLine="480"/>
        <w:rPr>
          <w:rFonts w:cs="Times New Roman"/>
        </w:rPr>
      </w:pPr>
      <w:r>
        <w:rPr>
          <w:rFonts w:cs="Times New Roman"/>
        </w:rPr>
        <w:t>4.4.2.2  二级保护区陆域定界方案</w:t>
      </w:r>
    </w:p>
    <w:p>
      <w:pPr>
        <w:ind w:firstLine="480"/>
        <w:rPr>
          <w:rFonts w:cs="Times New Roman"/>
          <w:b/>
          <w:bCs/>
        </w:rPr>
      </w:pPr>
      <w:r>
        <w:rPr>
          <w:rFonts w:cs="Times New Roman"/>
        </w:rPr>
        <w:t>在DEM数据基础上，使用ArcGIS软件的水文分析功能模块确认桂花水库径流范围，以此范围作为桂花水库二级保护区陆域基本范围。北边以斗米梁子南部分水岭为界；西边以风力发电场的道路东侧为界；南边以祭羊山分水岭为界，由于祭羊山分水岭与浑水塘林场用于生产的道路相邻，将边界调整到林场道路北侧。二级保护区陆域面积为151.74 hm</w:t>
      </w:r>
      <w:r>
        <w:rPr>
          <w:rFonts w:cs="Times New Roman"/>
          <w:vertAlign w:val="superscript"/>
        </w:rPr>
        <w:t>2</w:t>
      </w:r>
      <w:r>
        <w:rPr>
          <w:rFonts w:cs="Times New Roman"/>
        </w:rPr>
        <w:t xml:space="preserve">，占径流面积的83.83%，拐点坐标见表4-3。富源县桂花水库饮用水水源保护区区划图见附图5。 </w:t>
      </w:r>
    </w:p>
    <w:p>
      <w:pPr>
        <w:pStyle w:val="37"/>
        <w:spacing w:before="156" w:after="156"/>
      </w:pPr>
      <w:r>
        <w:t>表4-2  饮用水水源保护区分区面积表</w:t>
      </w:r>
    </w:p>
    <w:p>
      <w:pPr>
        <w:ind w:firstLine="420"/>
        <w:jc w:val="right"/>
        <w:rPr>
          <w:rFonts w:cs="Times New Roman"/>
          <w:sz w:val="21"/>
          <w:szCs w:val="20"/>
        </w:rPr>
      </w:pPr>
      <w:r>
        <w:rPr>
          <w:rFonts w:cs="Times New Roman"/>
          <w:sz w:val="21"/>
          <w:szCs w:val="20"/>
        </w:rPr>
        <w:t>单位：hm</w:t>
      </w:r>
      <w:r>
        <w:rPr>
          <w:rFonts w:cs="Times New Roman"/>
          <w:sz w:val="21"/>
          <w:szCs w:val="20"/>
          <w:vertAlign w:val="superscript"/>
        </w:rPr>
        <w:t>2</w:t>
      </w:r>
      <w:r>
        <w:rPr>
          <w:rFonts w:cs="Times New Roman"/>
          <w:sz w:val="21"/>
          <w:szCs w:val="20"/>
        </w:rPr>
        <w:t>，%</w:t>
      </w:r>
    </w:p>
    <w:tbl>
      <w:tblPr>
        <w:tblStyle w:val="24"/>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6"/>
        <w:gridCol w:w="1177"/>
        <w:gridCol w:w="2211"/>
        <w:gridCol w:w="2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6" w:type="dxa"/>
            <w:vAlign w:val="center"/>
          </w:tcPr>
          <w:p>
            <w:pPr>
              <w:pStyle w:val="33"/>
            </w:pPr>
            <w:r>
              <w:t>保护区级别</w:t>
            </w:r>
          </w:p>
        </w:tc>
        <w:tc>
          <w:tcPr>
            <w:tcW w:w="1177" w:type="dxa"/>
            <w:vAlign w:val="center"/>
          </w:tcPr>
          <w:p>
            <w:pPr>
              <w:pStyle w:val="33"/>
            </w:pPr>
            <w:r>
              <w:t>类别</w:t>
            </w:r>
          </w:p>
        </w:tc>
        <w:tc>
          <w:tcPr>
            <w:tcW w:w="2211" w:type="dxa"/>
            <w:vAlign w:val="center"/>
          </w:tcPr>
          <w:p>
            <w:pPr>
              <w:pStyle w:val="33"/>
            </w:pPr>
            <w:r>
              <w:t>面积</w:t>
            </w:r>
          </w:p>
        </w:tc>
        <w:tc>
          <w:tcPr>
            <w:tcW w:w="2212" w:type="dxa"/>
            <w:vAlign w:val="center"/>
          </w:tcPr>
          <w:p>
            <w:pPr>
              <w:pStyle w:val="33"/>
            </w:pPr>
            <w: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6" w:type="dxa"/>
            <w:vMerge w:val="restart"/>
            <w:vAlign w:val="center"/>
          </w:tcPr>
          <w:p>
            <w:pPr>
              <w:pStyle w:val="33"/>
            </w:pPr>
            <w:r>
              <w:t>一级保护区</w:t>
            </w:r>
          </w:p>
        </w:tc>
        <w:tc>
          <w:tcPr>
            <w:tcW w:w="1177" w:type="dxa"/>
            <w:vAlign w:val="center"/>
          </w:tcPr>
          <w:p>
            <w:pPr>
              <w:pStyle w:val="33"/>
            </w:pPr>
            <w:r>
              <w:t>水域</w:t>
            </w:r>
          </w:p>
        </w:tc>
        <w:tc>
          <w:tcPr>
            <w:tcW w:w="2211" w:type="dxa"/>
            <w:vAlign w:val="center"/>
          </w:tcPr>
          <w:p>
            <w:pPr>
              <w:pStyle w:val="33"/>
            </w:pPr>
            <w:r>
              <w:t>4.56</w:t>
            </w:r>
          </w:p>
        </w:tc>
        <w:tc>
          <w:tcPr>
            <w:tcW w:w="2212" w:type="dxa"/>
            <w:vAlign w:val="center"/>
          </w:tcPr>
          <w:p>
            <w:pPr>
              <w:pStyle w:val="33"/>
            </w:pPr>
            <w:r>
              <w:t xml:space="preserve">2.52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6" w:type="dxa"/>
            <w:vMerge w:val="continue"/>
            <w:vAlign w:val="center"/>
          </w:tcPr>
          <w:p>
            <w:pPr>
              <w:pStyle w:val="33"/>
            </w:pPr>
          </w:p>
        </w:tc>
        <w:tc>
          <w:tcPr>
            <w:tcW w:w="1177" w:type="dxa"/>
            <w:vAlign w:val="center"/>
          </w:tcPr>
          <w:p>
            <w:pPr>
              <w:pStyle w:val="33"/>
            </w:pPr>
            <w:r>
              <w:t>陆域</w:t>
            </w:r>
          </w:p>
        </w:tc>
        <w:tc>
          <w:tcPr>
            <w:tcW w:w="2211" w:type="dxa"/>
            <w:vAlign w:val="center"/>
          </w:tcPr>
          <w:p>
            <w:pPr>
              <w:pStyle w:val="33"/>
            </w:pPr>
            <w:r>
              <w:t>24.40</w:t>
            </w:r>
          </w:p>
        </w:tc>
        <w:tc>
          <w:tcPr>
            <w:tcW w:w="2212" w:type="dxa"/>
            <w:vAlign w:val="center"/>
          </w:tcPr>
          <w:p>
            <w:pPr>
              <w:pStyle w:val="33"/>
            </w:pPr>
            <w:r>
              <w:t xml:space="preserve">13.48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6" w:type="dxa"/>
            <w:vMerge w:val="restart"/>
            <w:vAlign w:val="center"/>
          </w:tcPr>
          <w:p>
            <w:pPr>
              <w:pStyle w:val="33"/>
            </w:pPr>
            <w:r>
              <w:t>二级保护区</w:t>
            </w:r>
          </w:p>
        </w:tc>
        <w:tc>
          <w:tcPr>
            <w:tcW w:w="1177" w:type="dxa"/>
            <w:vAlign w:val="center"/>
          </w:tcPr>
          <w:p>
            <w:pPr>
              <w:pStyle w:val="33"/>
            </w:pPr>
            <w:r>
              <w:t>水域</w:t>
            </w:r>
          </w:p>
        </w:tc>
        <w:tc>
          <w:tcPr>
            <w:tcW w:w="2211" w:type="dxa"/>
            <w:vAlign w:val="center"/>
          </w:tcPr>
          <w:p>
            <w:pPr>
              <w:pStyle w:val="33"/>
            </w:pPr>
            <w:r>
              <w:t>0.30</w:t>
            </w:r>
          </w:p>
        </w:tc>
        <w:tc>
          <w:tcPr>
            <w:tcW w:w="2212" w:type="dxa"/>
            <w:vAlign w:val="center"/>
          </w:tcPr>
          <w:p>
            <w:pPr>
              <w:pStyle w:val="33"/>
            </w:pPr>
            <w:r>
              <w:t xml:space="preserve">0.17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6" w:type="dxa"/>
            <w:vMerge w:val="continue"/>
            <w:vAlign w:val="center"/>
          </w:tcPr>
          <w:p>
            <w:pPr>
              <w:pStyle w:val="33"/>
            </w:pPr>
          </w:p>
        </w:tc>
        <w:tc>
          <w:tcPr>
            <w:tcW w:w="1177" w:type="dxa"/>
            <w:vAlign w:val="center"/>
          </w:tcPr>
          <w:p>
            <w:pPr>
              <w:pStyle w:val="33"/>
            </w:pPr>
            <w:r>
              <w:t>陆域</w:t>
            </w:r>
          </w:p>
        </w:tc>
        <w:tc>
          <w:tcPr>
            <w:tcW w:w="2211" w:type="dxa"/>
            <w:vAlign w:val="center"/>
          </w:tcPr>
          <w:p>
            <w:pPr>
              <w:pStyle w:val="33"/>
            </w:pPr>
            <w:r>
              <w:t>151.74</w:t>
            </w:r>
          </w:p>
        </w:tc>
        <w:tc>
          <w:tcPr>
            <w:tcW w:w="2212" w:type="dxa"/>
            <w:vAlign w:val="center"/>
          </w:tcPr>
          <w:p>
            <w:pPr>
              <w:pStyle w:val="33"/>
            </w:pPr>
            <w:r>
              <w:t xml:space="preserve">83.83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73" w:type="dxa"/>
            <w:gridSpan w:val="2"/>
            <w:vAlign w:val="center"/>
          </w:tcPr>
          <w:p>
            <w:pPr>
              <w:pStyle w:val="33"/>
            </w:pPr>
            <w:r>
              <w:t>合计</w:t>
            </w:r>
          </w:p>
        </w:tc>
        <w:tc>
          <w:tcPr>
            <w:tcW w:w="2211" w:type="dxa"/>
            <w:vAlign w:val="center"/>
          </w:tcPr>
          <w:p>
            <w:pPr>
              <w:pStyle w:val="33"/>
            </w:pPr>
            <w:r>
              <w:t>181.00</w:t>
            </w:r>
          </w:p>
        </w:tc>
        <w:tc>
          <w:tcPr>
            <w:tcW w:w="2212" w:type="dxa"/>
            <w:vAlign w:val="center"/>
          </w:tcPr>
          <w:p>
            <w:pPr>
              <w:pStyle w:val="33"/>
            </w:pPr>
            <w:r>
              <w:t>100</w:t>
            </w:r>
          </w:p>
        </w:tc>
      </w:tr>
    </w:tbl>
    <w:p>
      <w:pPr>
        <w:pStyle w:val="37"/>
        <w:spacing w:before="156" w:after="156"/>
      </w:pPr>
      <w:r>
        <w:t>表4-3  饮用水水源保护区拐点坐标</w:t>
      </w:r>
    </w:p>
    <w:tbl>
      <w:tblPr>
        <w:tblStyle w:val="24"/>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708"/>
        <w:gridCol w:w="1701"/>
        <w:gridCol w:w="1701"/>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pStyle w:val="33"/>
            </w:pPr>
            <w:r>
              <w:t>保护区级别</w:t>
            </w:r>
          </w:p>
        </w:tc>
        <w:tc>
          <w:tcPr>
            <w:tcW w:w="708" w:type="dxa"/>
            <w:vAlign w:val="center"/>
          </w:tcPr>
          <w:p>
            <w:pPr>
              <w:pStyle w:val="33"/>
            </w:pPr>
            <w:r>
              <w:t>拐点编号</w:t>
            </w:r>
          </w:p>
        </w:tc>
        <w:tc>
          <w:tcPr>
            <w:tcW w:w="1701" w:type="dxa"/>
            <w:vAlign w:val="center"/>
          </w:tcPr>
          <w:p>
            <w:pPr>
              <w:pStyle w:val="33"/>
            </w:pPr>
            <w:r>
              <w:t>经度</w:t>
            </w:r>
          </w:p>
        </w:tc>
        <w:tc>
          <w:tcPr>
            <w:tcW w:w="1701" w:type="dxa"/>
            <w:vAlign w:val="center"/>
          </w:tcPr>
          <w:p>
            <w:pPr>
              <w:pStyle w:val="33"/>
            </w:pPr>
            <w:r>
              <w:t>纬度</w:t>
            </w:r>
          </w:p>
        </w:tc>
        <w:tc>
          <w:tcPr>
            <w:tcW w:w="1701" w:type="dxa"/>
            <w:vAlign w:val="center"/>
          </w:tcPr>
          <w:p>
            <w:pPr>
              <w:pStyle w:val="33"/>
            </w:pPr>
            <w:r>
              <w:rPr>
                <w:rFonts w:hint="eastAsia"/>
              </w:rPr>
              <w:t>横坐标</w:t>
            </w:r>
          </w:p>
        </w:tc>
        <w:tc>
          <w:tcPr>
            <w:tcW w:w="1701" w:type="dxa"/>
            <w:vAlign w:val="center"/>
          </w:tcPr>
          <w:p>
            <w:pPr>
              <w:pStyle w:val="33"/>
            </w:pPr>
            <w:r>
              <w:rPr>
                <w:rFonts w:hint="eastAsia"/>
              </w:rPr>
              <w:t>纵坐标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Merge w:val="restart"/>
            <w:vAlign w:val="center"/>
          </w:tcPr>
          <w:p>
            <w:pPr>
              <w:pStyle w:val="33"/>
            </w:pPr>
            <w:r>
              <w:t>一</w:t>
            </w:r>
          </w:p>
          <w:p>
            <w:pPr>
              <w:pStyle w:val="33"/>
            </w:pPr>
            <w:r>
              <w:t>级</w:t>
            </w:r>
          </w:p>
          <w:p>
            <w:pPr>
              <w:pStyle w:val="33"/>
            </w:pPr>
            <w:r>
              <w:t>保</w:t>
            </w:r>
          </w:p>
          <w:p>
            <w:pPr>
              <w:pStyle w:val="33"/>
            </w:pPr>
            <w:r>
              <w:t>护</w:t>
            </w:r>
          </w:p>
          <w:p>
            <w:pPr>
              <w:pStyle w:val="33"/>
            </w:pPr>
            <w:r>
              <w:t>区</w:t>
            </w:r>
          </w:p>
        </w:tc>
        <w:tc>
          <w:tcPr>
            <w:tcW w:w="708" w:type="dxa"/>
            <w:vAlign w:val="center"/>
          </w:tcPr>
          <w:p>
            <w:pPr>
              <w:pStyle w:val="33"/>
            </w:pPr>
            <w:r>
              <w:t>Y01</w:t>
            </w:r>
          </w:p>
        </w:tc>
        <w:tc>
          <w:tcPr>
            <w:tcW w:w="1701" w:type="dxa"/>
            <w:vAlign w:val="center"/>
          </w:tcPr>
          <w:p>
            <w:pPr>
              <w:pStyle w:val="33"/>
            </w:pPr>
            <w:r>
              <w:t>E104°21'31.858"</w:t>
            </w:r>
          </w:p>
        </w:tc>
        <w:tc>
          <w:tcPr>
            <w:tcW w:w="1701" w:type="dxa"/>
            <w:vAlign w:val="center"/>
          </w:tcPr>
          <w:p>
            <w:pPr>
              <w:pStyle w:val="33"/>
            </w:pPr>
            <w:r>
              <w:t>N25°49'40.163"</w:t>
            </w:r>
          </w:p>
        </w:tc>
        <w:tc>
          <w:tcPr>
            <w:tcW w:w="1701" w:type="dxa"/>
          </w:tcPr>
          <w:p>
            <w:pPr>
              <w:pStyle w:val="33"/>
            </w:pPr>
            <w:r>
              <w:t>435715.3462</w:t>
            </w:r>
          </w:p>
        </w:tc>
        <w:tc>
          <w:tcPr>
            <w:tcW w:w="1701" w:type="dxa"/>
          </w:tcPr>
          <w:p>
            <w:pPr>
              <w:pStyle w:val="33"/>
            </w:pPr>
            <w:r>
              <w:t>2857916.381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Merge w:val="continue"/>
            <w:vAlign w:val="center"/>
          </w:tcPr>
          <w:p>
            <w:pPr>
              <w:pStyle w:val="33"/>
            </w:pPr>
          </w:p>
        </w:tc>
        <w:tc>
          <w:tcPr>
            <w:tcW w:w="708" w:type="dxa"/>
            <w:vAlign w:val="center"/>
          </w:tcPr>
          <w:p>
            <w:pPr>
              <w:pStyle w:val="33"/>
            </w:pPr>
            <w:r>
              <w:t>Y02</w:t>
            </w:r>
          </w:p>
        </w:tc>
        <w:tc>
          <w:tcPr>
            <w:tcW w:w="1701" w:type="dxa"/>
            <w:vAlign w:val="center"/>
          </w:tcPr>
          <w:p>
            <w:pPr>
              <w:pStyle w:val="33"/>
            </w:pPr>
            <w:r>
              <w:t>E104°21'33.073"</w:t>
            </w:r>
          </w:p>
        </w:tc>
        <w:tc>
          <w:tcPr>
            <w:tcW w:w="1701" w:type="dxa"/>
            <w:vAlign w:val="center"/>
          </w:tcPr>
          <w:p>
            <w:pPr>
              <w:pStyle w:val="33"/>
            </w:pPr>
            <w:r>
              <w:t>N25°49'40.296"</w:t>
            </w:r>
          </w:p>
        </w:tc>
        <w:tc>
          <w:tcPr>
            <w:tcW w:w="1701" w:type="dxa"/>
          </w:tcPr>
          <w:p>
            <w:pPr>
              <w:pStyle w:val="33"/>
            </w:pPr>
            <w:r>
              <w:t>435749.2019</w:t>
            </w:r>
          </w:p>
        </w:tc>
        <w:tc>
          <w:tcPr>
            <w:tcW w:w="1701" w:type="dxa"/>
          </w:tcPr>
          <w:p>
            <w:pPr>
              <w:pStyle w:val="33"/>
            </w:pPr>
            <w:r>
              <w:t>2857920.294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Merge w:val="continue"/>
            <w:vAlign w:val="center"/>
          </w:tcPr>
          <w:p>
            <w:pPr>
              <w:pStyle w:val="33"/>
            </w:pPr>
          </w:p>
        </w:tc>
        <w:tc>
          <w:tcPr>
            <w:tcW w:w="708" w:type="dxa"/>
            <w:vAlign w:val="center"/>
          </w:tcPr>
          <w:p>
            <w:pPr>
              <w:pStyle w:val="33"/>
            </w:pPr>
            <w:r>
              <w:t>Y03</w:t>
            </w:r>
          </w:p>
        </w:tc>
        <w:tc>
          <w:tcPr>
            <w:tcW w:w="1701" w:type="dxa"/>
            <w:vAlign w:val="center"/>
          </w:tcPr>
          <w:p>
            <w:pPr>
              <w:pStyle w:val="33"/>
            </w:pPr>
            <w:r>
              <w:t>E104°21'38.133"</w:t>
            </w:r>
          </w:p>
        </w:tc>
        <w:tc>
          <w:tcPr>
            <w:tcW w:w="1701" w:type="dxa"/>
            <w:vAlign w:val="center"/>
          </w:tcPr>
          <w:p>
            <w:pPr>
              <w:pStyle w:val="33"/>
            </w:pPr>
            <w:r>
              <w:t>N25°49'34.320"</w:t>
            </w:r>
          </w:p>
        </w:tc>
        <w:tc>
          <w:tcPr>
            <w:tcW w:w="1701" w:type="dxa"/>
          </w:tcPr>
          <w:p>
            <w:pPr>
              <w:pStyle w:val="33"/>
            </w:pPr>
            <w:r>
              <w:t>435889.2452</w:t>
            </w:r>
          </w:p>
        </w:tc>
        <w:tc>
          <w:tcPr>
            <w:tcW w:w="1701" w:type="dxa"/>
          </w:tcPr>
          <w:p>
            <w:pPr>
              <w:pStyle w:val="33"/>
            </w:pPr>
            <w:r>
              <w:t>2857735.711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Merge w:val="continue"/>
            <w:vAlign w:val="center"/>
          </w:tcPr>
          <w:p>
            <w:pPr>
              <w:pStyle w:val="33"/>
            </w:pPr>
          </w:p>
        </w:tc>
        <w:tc>
          <w:tcPr>
            <w:tcW w:w="708" w:type="dxa"/>
            <w:vAlign w:val="center"/>
          </w:tcPr>
          <w:p>
            <w:pPr>
              <w:pStyle w:val="33"/>
            </w:pPr>
            <w:r>
              <w:t>Y04</w:t>
            </w:r>
          </w:p>
        </w:tc>
        <w:tc>
          <w:tcPr>
            <w:tcW w:w="1701" w:type="dxa"/>
            <w:vAlign w:val="center"/>
          </w:tcPr>
          <w:p>
            <w:pPr>
              <w:pStyle w:val="33"/>
            </w:pPr>
            <w:r>
              <w:t>E104°21'38.010"</w:t>
            </w:r>
          </w:p>
        </w:tc>
        <w:tc>
          <w:tcPr>
            <w:tcW w:w="1701" w:type="dxa"/>
            <w:vAlign w:val="center"/>
          </w:tcPr>
          <w:p>
            <w:pPr>
              <w:pStyle w:val="33"/>
            </w:pPr>
            <w:r>
              <w:t>N25°49'30.786"</w:t>
            </w:r>
          </w:p>
        </w:tc>
        <w:tc>
          <w:tcPr>
            <w:tcW w:w="1701" w:type="dxa"/>
          </w:tcPr>
          <w:p>
            <w:pPr>
              <w:pStyle w:val="33"/>
            </w:pPr>
            <w:r>
              <w:t>435885.3003</w:t>
            </w:r>
          </w:p>
        </w:tc>
        <w:tc>
          <w:tcPr>
            <w:tcW w:w="1701" w:type="dxa"/>
          </w:tcPr>
          <w:p>
            <w:pPr>
              <w:pStyle w:val="33"/>
            </w:pPr>
            <w:r>
              <w:t>2857626.943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Merge w:val="continue"/>
            <w:vAlign w:val="center"/>
          </w:tcPr>
          <w:p>
            <w:pPr>
              <w:pStyle w:val="33"/>
            </w:pPr>
          </w:p>
        </w:tc>
        <w:tc>
          <w:tcPr>
            <w:tcW w:w="708" w:type="dxa"/>
            <w:vAlign w:val="center"/>
          </w:tcPr>
          <w:p>
            <w:pPr>
              <w:pStyle w:val="33"/>
            </w:pPr>
            <w:r>
              <w:t>Y05</w:t>
            </w:r>
          </w:p>
        </w:tc>
        <w:tc>
          <w:tcPr>
            <w:tcW w:w="1701" w:type="dxa"/>
            <w:vAlign w:val="center"/>
          </w:tcPr>
          <w:p>
            <w:pPr>
              <w:pStyle w:val="33"/>
            </w:pPr>
            <w:r>
              <w:t>E104°21'36.719"</w:t>
            </w:r>
          </w:p>
        </w:tc>
        <w:tc>
          <w:tcPr>
            <w:tcW w:w="1701" w:type="dxa"/>
            <w:vAlign w:val="center"/>
          </w:tcPr>
          <w:p>
            <w:pPr>
              <w:pStyle w:val="33"/>
            </w:pPr>
            <w:r>
              <w:t>N25°49'29.324"</w:t>
            </w:r>
          </w:p>
        </w:tc>
        <w:tc>
          <w:tcPr>
            <w:tcW w:w="1701" w:type="dxa"/>
          </w:tcPr>
          <w:p>
            <w:pPr>
              <w:pStyle w:val="33"/>
            </w:pPr>
            <w:r>
              <w:t>435849.1201</w:t>
            </w:r>
          </w:p>
        </w:tc>
        <w:tc>
          <w:tcPr>
            <w:tcW w:w="1701" w:type="dxa"/>
          </w:tcPr>
          <w:p>
            <w:pPr>
              <w:pStyle w:val="33"/>
            </w:pPr>
            <w:r>
              <w:t>2857582.123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Merge w:val="continue"/>
            <w:vAlign w:val="center"/>
          </w:tcPr>
          <w:p>
            <w:pPr>
              <w:pStyle w:val="33"/>
            </w:pPr>
          </w:p>
        </w:tc>
        <w:tc>
          <w:tcPr>
            <w:tcW w:w="708" w:type="dxa"/>
            <w:vAlign w:val="center"/>
          </w:tcPr>
          <w:p>
            <w:pPr>
              <w:pStyle w:val="33"/>
            </w:pPr>
            <w:r>
              <w:t>Y06</w:t>
            </w:r>
          </w:p>
        </w:tc>
        <w:tc>
          <w:tcPr>
            <w:tcW w:w="1701" w:type="dxa"/>
            <w:vAlign w:val="center"/>
          </w:tcPr>
          <w:p>
            <w:pPr>
              <w:pStyle w:val="33"/>
            </w:pPr>
            <w:r>
              <w:t>E104°21'35.915"</w:t>
            </w:r>
          </w:p>
        </w:tc>
        <w:tc>
          <w:tcPr>
            <w:tcW w:w="1701" w:type="dxa"/>
            <w:vAlign w:val="center"/>
          </w:tcPr>
          <w:p>
            <w:pPr>
              <w:pStyle w:val="33"/>
            </w:pPr>
            <w:r>
              <w:t>N25°49'27.099"</w:t>
            </w:r>
          </w:p>
        </w:tc>
        <w:tc>
          <w:tcPr>
            <w:tcW w:w="1701" w:type="dxa"/>
          </w:tcPr>
          <w:p>
            <w:pPr>
              <w:pStyle w:val="33"/>
            </w:pPr>
            <w:r>
              <w:t>435826.3874</w:t>
            </w:r>
          </w:p>
        </w:tc>
        <w:tc>
          <w:tcPr>
            <w:tcW w:w="1701" w:type="dxa"/>
          </w:tcPr>
          <w:p>
            <w:pPr>
              <w:pStyle w:val="33"/>
            </w:pPr>
            <w:r>
              <w:t>2857513.765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Merge w:val="continue"/>
            <w:vAlign w:val="center"/>
          </w:tcPr>
          <w:p>
            <w:pPr>
              <w:pStyle w:val="33"/>
            </w:pPr>
          </w:p>
        </w:tc>
        <w:tc>
          <w:tcPr>
            <w:tcW w:w="708" w:type="dxa"/>
            <w:vAlign w:val="center"/>
          </w:tcPr>
          <w:p>
            <w:pPr>
              <w:pStyle w:val="33"/>
            </w:pPr>
            <w:r>
              <w:t>Y07</w:t>
            </w:r>
          </w:p>
        </w:tc>
        <w:tc>
          <w:tcPr>
            <w:tcW w:w="1701" w:type="dxa"/>
            <w:vAlign w:val="center"/>
          </w:tcPr>
          <w:p>
            <w:pPr>
              <w:pStyle w:val="33"/>
            </w:pPr>
            <w:r>
              <w:t>E104°21'26.415"</w:t>
            </w:r>
          </w:p>
        </w:tc>
        <w:tc>
          <w:tcPr>
            <w:tcW w:w="1701" w:type="dxa"/>
            <w:vAlign w:val="center"/>
          </w:tcPr>
          <w:p>
            <w:pPr>
              <w:pStyle w:val="33"/>
            </w:pPr>
            <w:r>
              <w:t>N25°49'24.832"</w:t>
            </w:r>
          </w:p>
        </w:tc>
        <w:tc>
          <w:tcPr>
            <w:tcW w:w="1701" w:type="dxa"/>
          </w:tcPr>
          <w:p>
            <w:pPr>
              <w:pStyle w:val="33"/>
            </w:pPr>
            <w:r>
              <w:t>435561.4512</w:t>
            </w:r>
          </w:p>
        </w:tc>
        <w:tc>
          <w:tcPr>
            <w:tcW w:w="1701" w:type="dxa"/>
          </w:tcPr>
          <w:p>
            <w:pPr>
              <w:pStyle w:val="33"/>
            </w:pPr>
            <w:r>
              <w:t>2857445.295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Merge w:val="continue"/>
            <w:vAlign w:val="center"/>
          </w:tcPr>
          <w:p>
            <w:pPr>
              <w:pStyle w:val="33"/>
            </w:pPr>
          </w:p>
        </w:tc>
        <w:tc>
          <w:tcPr>
            <w:tcW w:w="708" w:type="dxa"/>
            <w:vAlign w:val="center"/>
          </w:tcPr>
          <w:p>
            <w:pPr>
              <w:pStyle w:val="33"/>
            </w:pPr>
            <w:r>
              <w:t>Y08</w:t>
            </w:r>
          </w:p>
        </w:tc>
        <w:tc>
          <w:tcPr>
            <w:tcW w:w="1701" w:type="dxa"/>
            <w:vAlign w:val="center"/>
          </w:tcPr>
          <w:p>
            <w:pPr>
              <w:pStyle w:val="33"/>
            </w:pPr>
            <w:r>
              <w:t>E104°21'23.234"</w:t>
            </w:r>
          </w:p>
        </w:tc>
        <w:tc>
          <w:tcPr>
            <w:tcW w:w="1701" w:type="dxa"/>
            <w:vAlign w:val="center"/>
          </w:tcPr>
          <w:p>
            <w:pPr>
              <w:pStyle w:val="33"/>
            </w:pPr>
            <w:r>
              <w:t>N25°49'23.492"</w:t>
            </w:r>
          </w:p>
        </w:tc>
        <w:tc>
          <w:tcPr>
            <w:tcW w:w="1701" w:type="dxa"/>
          </w:tcPr>
          <w:p>
            <w:pPr>
              <w:pStyle w:val="33"/>
            </w:pPr>
            <w:r>
              <w:t>435472.6411</w:t>
            </w:r>
          </w:p>
        </w:tc>
        <w:tc>
          <w:tcPr>
            <w:tcW w:w="1701" w:type="dxa"/>
          </w:tcPr>
          <w:p>
            <w:pPr>
              <w:pStyle w:val="33"/>
            </w:pPr>
            <w:r>
              <w:t>2857404.498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Merge w:val="continue"/>
            <w:vAlign w:val="center"/>
          </w:tcPr>
          <w:p>
            <w:pPr>
              <w:pStyle w:val="33"/>
            </w:pPr>
          </w:p>
        </w:tc>
        <w:tc>
          <w:tcPr>
            <w:tcW w:w="708" w:type="dxa"/>
            <w:vAlign w:val="center"/>
          </w:tcPr>
          <w:p>
            <w:pPr>
              <w:pStyle w:val="33"/>
            </w:pPr>
            <w:r>
              <w:t>Y09</w:t>
            </w:r>
          </w:p>
        </w:tc>
        <w:tc>
          <w:tcPr>
            <w:tcW w:w="1701" w:type="dxa"/>
            <w:vAlign w:val="center"/>
          </w:tcPr>
          <w:p>
            <w:pPr>
              <w:pStyle w:val="33"/>
            </w:pPr>
            <w:r>
              <w:t>E104°21'14.202"</w:t>
            </w:r>
          </w:p>
        </w:tc>
        <w:tc>
          <w:tcPr>
            <w:tcW w:w="1701" w:type="dxa"/>
            <w:vAlign w:val="center"/>
          </w:tcPr>
          <w:p>
            <w:pPr>
              <w:pStyle w:val="33"/>
            </w:pPr>
            <w:r>
              <w:t>N25°49'23.553"</w:t>
            </w:r>
          </w:p>
        </w:tc>
        <w:tc>
          <w:tcPr>
            <w:tcW w:w="1701" w:type="dxa"/>
          </w:tcPr>
          <w:p>
            <w:pPr>
              <w:pStyle w:val="33"/>
            </w:pPr>
            <w:r>
              <w:t>435221.0975</w:t>
            </w:r>
          </w:p>
        </w:tc>
        <w:tc>
          <w:tcPr>
            <w:tcW w:w="1701" w:type="dxa"/>
          </w:tcPr>
          <w:p>
            <w:pPr>
              <w:pStyle w:val="33"/>
            </w:pPr>
            <w:r>
              <w:t>2857407.6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Merge w:val="continue"/>
            <w:vAlign w:val="center"/>
          </w:tcPr>
          <w:p>
            <w:pPr>
              <w:pStyle w:val="33"/>
            </w:pPr>
          </w:p>
        </w:tc>
        <w:tc>
          <w:tcPr>
            <w:tcW w:w="708" w:type="dxa"/>
            <w:vAlign w:val="center"/>
          </w:tcPr>
          <w:p>
            <w:pPr>
              <w:pStyle w:val="33"/>
            </w:pPr>
            <w:r>
              <w:t>Y10</w:t>
            </w:r>
          </w:p>
        </w:tc>
        <w:tc>
          <w:tcPr>
            <w:tcW w:w="1701" w:type="dxa"/>
            <w:vAlign w:val="center"/>
          </w:tcPr>
          <w:p>
            <w:pPr>
              <w:pStyle w:val="33"/>
            </w:pPr>
            <w:r>
              <w:t>E104°21'12.568"</w:t>
            </w:r>
          </w:p>
        </w:tc>
        <w:tc>
          <w:tcPr>
            <w:tcW w:w="1701" w:type="dxa"/>
            <w:vAlign w:val="center"/>
          </w:tcPr>
          <w:p>
            <w:pPr>
              <w:pStyle w:val="33"/>
            </w:pPr>
            <w:r>
              <w:t>N25°49'25.377"</w:t>
            </w:r>
          </w:p>
        </w:tc>
        <w:tc>
          <w:tcPr>
            <w:tcW w:w="1701" w:type="dxa"/>
          </w:tcPr>
          <w:p>
            <w:pPr>
              <w:pStyle w:val="33"/>
            </w:pPr>
            <w:r>
              <w:t>435175.8537</w:t>
            </w:r>
          </w:p>
        </w:tc>
        <w:tc>
          <w:tcPr>
            <w:tcW w:w="1701" w:type="dxa"/>
          </w:tcPr>
          <w:p>
            <w:pPr>
              <w:pStyle w:val="33"/>
            </w:pPr>
            <w:r>
              <w:t>2857463.956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Merge w:val="continue"/>
            <w:vAlign w:val="center"/>
          </w:tcPr>
          <w:p>
            <w:pPr>
              <w:pStyle w:val="33"/>
            </w:pPr>
          </w:p>
        </w:tc>
        <w:tc>
          <w:tcPr>
            <w:tcW w:w="708" w:type="dxa"/>
            <w:vAlign w:val="center"/>
          </w:tcPr>
          <w:p>
            <w:pPr>
              <w:pStyle w:val="33"/>
            </w:pPr>
            <w:r>
              <w:t>Y11</w:t>
            </w:r>
          </w:p>
        </w:tc>
        <w:tc>
          <w:tcPr>
            <w:tcW w:w="1701" w:type="dxa"/>
            <w:vAlign w:val="center"/>
          </w:tcPr>
          <w:p>
            <w:pPr>
              <w:pStyle w:val="33"/>
            </w:pPr>
            <w:r>
              <w:t>E104°21'9.940"</w:t>
            </w:r>
          </w:p>
        </w:tc>
        <w:tc>
          <w:tcPr>
            <w:tcW w:w="1701" w:type="dxa"/>
            <w:vAlign w:val="center"/>
          </w:tcPr>
          <w:p>
            <w:pPr>
              <w:pStyle w:val="33"/>
            </w:pPr>
            <w:r>
              <w:t>N25°49'25.214"</w:t>
            </w:r>
          </w:p>
        </w:tc>
        <w:tc>
          <w:tcPr>
            <w:tcW w:w="1701" w:type="dxa"/>
          </w:tcPr>
          <w:p>
            <w:pPr>
              <w:pStyle w:val="33"/>
            </w:pPr>
            <w:r>
              <w:t>435102.636</w:t>
            </w:r>
          </w:p>
        </w:tc>
        <w:tc>
          <w:tcPr>
            <w:tcW w:w="1701" w:type="dxa"/>
          </w:tcPr>
          <w:p>
            <w:pPr>
              <w:pStyle w:val="33"/>
            </w:pPr>
            <w:r>
              <w:t>2857459.301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Merge w:val="continue"/>
            <w:vAlign w:val="center"/>
          </w:tcPr>
          <w:p>
            <w:pPr>
              <w:pStyle w:val="33"/>
            </w:pPr>
          </w:p>
        </w:tc>
        <w:tc>
          <w:tcPr>
            <w:tcW w:w="708" w:type="dxa"/>
            <w:vAlign w:val="center"/>
          </w:tcPr>
          <w:p>
            <w:pPr>
              <w:pStyle w:val="33"/>
            </w:pPr>
            <w:r>
              <w:t>Y12</w:t>
            </w:r>
          </w:p>
        </w:tc>
        <w:tc>
          <w:tcPr>
            <w:tcW w:w="1701" w:type="dxa"/>
            <w:vAlign w:val="center"/>
          </w:tcPr>
          <w:p>
            <w:pPr>
              <w:pStyle w:val="33"/>
            </w:pPr>
            <w:r>
              <w:t>E104°21'8.470"</w:t>
            </w:r>
          </w:p>
        </w:tc>
        <w:tc>
          <w:tcPr>
            <w:tcW w:w="1701" w:type="dxa"/>
            <w:vAlign w:val="center"/>
          </w:tcPr>
          <w:p>
            <w:pPr>
              <w:pStyle w:val="33"/>
            </w:pPr>
            <w:r>
              <w:t>N25°49'34.837"</w:t>
            </w:r>
          </w:p>
        </w:tc>
        <w:tc>
          <w:tcPr>
            <w:tcW w:w="1701" w:type="dxa"/>
          </w:tcPr>
          <w:p>
            <w:pPr>
              <w:pStyle w:val="33"/>
            </w:pPr>
            <w:r>
              <w:t>435063.141</w:t>
            </w:r>
          </w:p>
        </w:tc>
        <w:tc>
          <w:tcPr>
            <w:tcW w:w="1701" w:type="dxa"/>
          </w:tcPr>
          <w:p>
            <w:pPr>
              <w:pStyle w:val="33"/>
            </w:pPr>
            <w:r>
              <w:t>2857755.66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Merge w:val="continue"/>
            <w:vAlign w:val="center"/>
          </w:tcPr>
          <w:p>
            <w:pPr>
              <w:pStyle w:val="33"/>
            </w:pPr>
          </w:p>
        </w:tc>
        <w:tc>
          <w:tcPr>
            <w:tcW w:w="708" w:type="dxa"/>
            <w:vAlign w:val="center"/>
          </w:tcPr>
          <w:p>
            <w:pPr>
              <w:pStyle w:val="33"/>
            </w:pPr>
            <w:r>
              <w:t>Y13</w:t>
            </w:r>
          </w:p>
        </w:tc>
        <w:tc>
          <w:tcPr>
            <w:tcW w:w="1701" w:type="dxa"/>
            <w:vAlign w:val="center"/>
          </w:tcPr>
          <w:p>
            <w:pPr>
              <w:pStyle w:val="33"/>
            </w:pPr>
            <w:r>
              <w:t>E104°21'9.950"</w:t>
            </w:r>
          </w:p>
        </w:tc>
        <w:tc>
          <w:tcPr>
            <w:tcW w:w="1701" w:type="dxa"/>
            <w:vAlign w:val="center"/>
          </w:tcPr>
          <w:p>
            <w:pPr>
              <w:pStyle w:val="33"/>
            </w:pPr>
            <w:r>
              <w:t>N25°49'35.244"</w:t>
            </w:r>
          </w:p>
        </w:tc>
        <w:tc>
          <w:tcPr>
            <w:tcW w:w="1701" w:type="dxa"/>
          </w:tcPr>
          <w:p>
            <w:pPr>
              <w:pStyle w:val="33"/>
            </w:pPr>
            <w:r>
              <w:t>435104.4161</w:t>
            </w:r>
          </w:p>
        </w:tc>
        <w:tc>
          <w:tcPr>
            <w:tcW w:w="1701" w:type="dxa"/>
          </w:tcPr>
          <w:p>
            <w:pPr>
              <w:pStyle w:val="33"/>
            </w:pPr>
            <w:r>
              <w:t>2857767.963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Merge w:val="continue"/>
            <w:vAlign w:val="center"/>
          </w:tcPr>
          <w:p>
            <w:pPr>
              <w:pStyle w:val="33"/>
            </w:pPr>
          </w:p>
        </w:tc>
        <w:tc>
          <w:tcPr>
            <w:tcW w:w="708" w:type="dxa"/>
            <w:vAlign w:val="center"/>
          </w:tcPr>
          <w:p>
            <w:pPr>
              <w:pStyle w:val="33"/>
            </w:pPr>
            <w:r>
              <w:t>Y14</w:t>
            </w:r>
          </w:p>
        </w:tc>
        <w:tc>
          <w:tcPr>
            <w:tcW w:w="1701" w:type="dxa"/>
            <w:vAlign w:val="center"/>
          </w:tcPr>
          <w:p>
            <w:pPr>
              <w:pStyle w:val="33"/>
            </w:pPr>
            <w:r>
              <w:t>E104°21'12.536"</w:t>
            </w:r>
          </w:p>
        </w:tc>
        <w:tc>
          <w:tcPr>
            <w:tcW w:w="1701" w:type="dxa"/>
            <w:vAlign w:val="center"/>
          </w:tcPr>
          <w:p>
            <w:pPr>
              <w:pStyle w:val="33"/>
            </w:pPr>
            <w:r>
              <w:t>N25°49'36.125"</w:t>
            </w:r>
          </w:p>
        </w:tc>
        <w:tc>
          <w:tcPr>
            <w:tcW w:w="1701" w:type="dxa"/>
          </w:tcPr>
          <w:p>
            <w:pPr>
              <w:pStyle w:val="33"/>
            </w:pPr>
            <w:r>
              <w:t>435176.5721</w:t>
            </w:r>
          </w:p>
        </w:tc>
        <w:tc>
          <w:tcPr>
            <w:tcW w:w="1701" w:type="dxa"/>
          </w:tcPr>
          <w:p>
            <w:pPr>
              <w:pStyle w:val="33"/>
            </w:pPr>
            <w:r>
              <w:t>2857794.734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Merge w:val="continue"/>
            <w:vAlign w:val="center"/>
          </w:tcPr>
          <w:p>
            <w:pPr>
              <w:pStyle w:val="33"/>
            </w:pPr>
          </w:p>
        </w:tc>
        <w:tc>
          <w:tcPr>
            <w:tcW w:w="708" w:type="dxa"/>
            <w:vAlign w:val="center"/>
          </w:tcPr>
          <w:p>
            <w:pPr>
              <w:pStyle w:val="33"/>
            </w:pPr>
            <w:r>
              <w:t>Y15</w:t>
            </w:r>
          </w:p>
        </w:tc>
        <w:tc>
          <w:tcPr>
            <w:tcW w:w="1701" w:type="dxa"/>
            <w:vAlign w:val="center"/>
          </w:tcPr>
          <w:p>
            <w:pPr>
              <w:pStyle w:val="33"/>
            </w:pPr>
            <w:r>
              <w:t>E104°21'18.467"</w:t>
            </w:r>
          </w:p>
        </w:tc>
        <w:tc>
          <w:tcPr>
            <w:tcW w:w="1701" w:type="dxa"/>
            <w:vAlign w:val="center"/>
          </w:tcPr>
          <w:p>
            <w:pPr>
              <w:pStyle w:val="33"/>
            </w:pPr>
            <w:r>
              <w:t>N25°49'35.892"</w:t>
            </w:r>
          </w:p>
        </w:tc>
        <w:tc>
          <w:tcPr>
            <w:tcW w:w="1701" w:type="dxa"/>
          </w:tcPr>
          <w:p>
            <w:pPr>
              <w:pStyle w:val="33"/>
            </w:pPr>
            <w:r>
              <w:t>435341.7537</w:t>
            </w:r>
          </w:p>
        </w:tc>
        <w:tc>
          <w:tcPr>
            <w:tcW w:w="1701" w:type="dxa"/>
          </w:tcPr>
          <w:p>
            <w:pPr>
              <w:pStyle w:val="33"/>
            </w:pPr>
            <w:r>
              <w:t>2857786.735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Merge w:val="continue"/>
            <w:vAlign w:val="center"/>
          </w:tcPr>
          <w:p>
            <w:pPr>
              <w:pStyle w:val="33"/>
            </w:pPr>
          </w:p>
        </w:tc>
        <w:tc>
          <w:tcPr>
            <w:tcW w:w="708" w:type="dxa"/>
            <w:vAlign w:val="center"/>
          </w:tcPr>
          <w:p>
            <w:pPr>
              <w:pStyle w:val="33"/>
            </w:pPr>
            <w:r>
              <w:t>Y16</w:t>
            </w:r>
          </w:p>
        </w:tc>
        <w:tc>
          <w:tcPr>
            <w:tcW w:w="1701" w:type="dxa"/>
            <w:vAlign w:val="center"/>
          </w:tcPr>
          <w:p>
            <w:pPr>
              <w:pStyle w:val="33"/>
            </w:pPr>
            <w:r>
              <w:t>E104°21'28.764"</w:t>
            </w:r>
          </w:p>
        </w:tc>
        <w:tc>
          <w:tcPr>
            <w:tcW w:w="1701" w:type="dxa"/>
            <w:vAlign w:val="center"/>
          </w:tcPr>
          <w:p>
            <w:pPr>
              <w:pStyle w:val="33"/>
            </w:pPr>
            <w:r>
              <w:t>N25°49'35.989"</w:t>
            </w:r>
          </w:p>
        </w:tc>
        <w:tc>
          <w:tcPr>
            <w:tcW w:w="1701" w:type="dxa"/>
          </w:tcPr>
          <w:p>
            <w:pPr>
              <w:pStyle w:val="33"/>
            </w:pPr>
            <w:r>
              <w:t>435628.5626</w:t>
            </w:r>
          </w:p>
        </w:tc>
        <w:tc>
          <w:tcPr>
            <w:tcW w:w="1701" w:type="dxa"/>
          </w:tcPr>
          <w:p>
            <w:pPr>
              <w:pStyle w:val="33"/>
            </w:pPr>
            <w:r>
              <w:t>2857788.322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Merge w:val="restart"/>
            <w:vAlign w:val="center"/>
          </w:tcPr>
          <w:p>
            <w:pPr>
              <w:pStyle w:val="33"/>
            </w:pPr>
            <w:r>
              <w:t>二</w:t>
            </w:r>
          </w:p>
          <w:p>
            <w:pPr>
              <w:pStyle w:val="33"/>
            </w:pPr>
            <w:r>
              <w:t>级</w:t>
            </w:r>
          </w:p>
          <w:p>
            <w:pPr>
              <w:pStyle w:val="33"/>
            </w:pPr>
            <w:r>
              <w:t>保</w:t>
            </w:r>
          </w:p>
          <w:p>
            <w:pPr>
              <w:pStyle w:val="33"/>
            </w:pPr>
            <w:r>
              <w:t>护</w:t>
            </w:r>
          </w:p>
          <w:p>
            <w:pPr>
              <w:pStyle w:val="33"/>
            </w:pPr>
            <w:r>
              <w:t>区</w:t>
            </w:r>
          </w:p>
        </w:tc>
        <w:tc>
          <w:tcPr>
            <w:tcW w:w="708" w:type="dxa"/>
            <w:vAlign w:val="center"/>
          </w:tcPr>
          <w:p>
            <w:pPr>
              <w:pStyle w:val="33"/>
            </w:pPr>
            <w:r>
              <w:t>E01</w:t>
            </w:r>
          </w:p>
        </w:tc>
        <w:tc>
          <w:tcPr>
            <w:tcW w:w="1701" w:type="dxa"/>
            <w:vAlign w:val="center"/>
          </w:tcPr>
          <w:p>
            <w:pPr>
              <w:pStyle w:val="33"/>
            </w:pPr>
            <w:r>
              <w:t>E104°21'33.690"</w:t>
            </w:r>
          </w:p>
        </w:tc>
        <w:tc>
          <w:tcPr>
            <w:tcW w:w="1701" w:type="dxa"/>
            <w:vAlign w:val="center"/>
          </w:tcPr>
          <w:p>
            <w:pPr>
              <w:pStyle w:val="33"/>
            </w:pPr>
            <w:r>
              <w:t>N25°49'20.344"</w:t>
            </w:r>
          </w:p>
        </w:tc>
        <w:tc>
          <w:tcPr>
            <w:tcW w:w="1701" w:type="dxa"/>
          </w:tcPr>
          <w:p>
            <w:pPr>
              <w:pStyle w:val="33"/>
            </w:pPr>
            <w:r>
              <w:t>435763.3954</w:t>
            </w:r>
          </w:p>
        </w:tc>
        <w:tc>
          <w:tcPr>
            <w:tcW w:w="1701" w:type="dxa"/>
          </w:tcPr>
          <w:p>
            <w:pPr>
              <w:pStyle w:val="33"/>
            </w:pPr>
            <w:r>
              <w:t>2857306.182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Merge w:val="continue"/>
            <w:vAlign w:val="center"/>
          </w:tcPr>
          <w:p>
            <w:pPr>
              <w:pStyle w:val="33"/>
            </w:pPr>
          </w:p>
        </w:tc>
        <w:tc>
          <w:tcPr>
            <w:tcW w:w="708" w:type="dxa"/>
            <w:vAlign w:val="center"/>
          </w:tcPr>
          <w:p>
            <w:pPr>
              <w:pStyle w:val="33"/>
            </w:pPr>
            <w:r>
              <w:t>E02</w:t>
            </w:r>
          </w:p>
        </w:tc>
        <w:tc>
          <w:tcPr>
            <w:tcW w:w="1701" w:type="dxa"/>
            <w:vAlign w:val="center"/>
          </w:tcPr>
          <w:p>
            <w:pPr>
              <w:pStyle w:val="33"/>
            </w:pPr>
            <w:r>
              <w:t>E104°21'28.480"</w:t>
            </w:r>
          </w:p>
        </w:tc>
        <w:tc>
          <w:tcPr>
            <w:tcW w:w="1701" w:type="dxa"/>
            <w:vAlign w:val="center"/>
          </w:tcPr>
          <w:p>
            <w:pPr>
              <w:pStyle w:val="33"/>
            </w:pPr>
            <w:r>
              <w:t>N25°49'17.621"</w:t>
            </w:r>
          </w:p>
        </w:tc>
        <w:tc>
          <w:tcPr>
            <w:tcW w:w="1701" w:type="dxa"/>
          </w:tcPr>
          <w:p>
            <w:pPr>
              <w:pStyle w:val="33"/>
            </w:pPr>
            <w:r>
              <w:t>435617.8742</w:t>
            </w:r>
          </w:p>
        </w:tc>
        <w:tc>
          <w:tcPr>
            <w:tcW w:w="1701" w:type="dxa"/>
          </w:tcPr>
          <w:p>
            <w:pPr>
              <w:pStyle w:val="33"/>
            </w:pPr>
            <w:r>
              <w:t>2857223.102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Merge w:val="continue"/>
            <w:vAlign w:val="center"/>
          </w:tcPr>
          <w:p>
            <w:pPr>
              <w:pStyle w:val="33"/>
            </w:pPr>
          </w:p>
        </w:tc>
        <w:tc>
          <w:tcPr>
            <w:tcW w:w="708" w:type="dxa"/>
            <w:vAlign w:val="center"/>
          </w:tcPr>
          <w:p>
            <w:pPr>
              <w:pStyle w:val="33"/>
            </w:pPr>
            <w:r>
              <w:t>E03</w:t>
            </w:r>
          </w:p>
        </w:tc>
        <w:tc>
          <w:tcPr>
            <w:tcW w:w="1701" w:type="dxa"/>
            <w:vAlign w:val="center"/>
          </w:tcPr>
          <w:p>
            <w:pPr>
              <w:pStyle w:val="33"/>
            </w:pPr>
            <w:r>
              <w:t>E104°21'13.853"</w:t>
            </w:r>
          </w:p>
        </w:tc>
        <w:tc>
          <w:tcPr>
            <w:tcW w:w="1701" w:type="dxa"/>
            <w:vAlign w:val="center"/>
          </w:tcPr>
          <w:p>
            <w:pPr>
              <w:pStyle w:val="33"/>
            </w:pPr>
            <w:r>
              <w:t>N25°49'13.773"</w:t>
            </w:r>
          </w:p>
        </w:tc>
        <w:tc>
          <w:tcPr>
            <w:tcW w:w="1701" w:type="dxa"/>
          </w:tcPr>
          <w:p>
            <w:pPr>
              <w:pStyle w:val="33"/>
            </w:pPr>
            <w:r>
              <w:t>435209.8859</w:t>
            </w:r>
          </w:p>
        </w:tc>
        <w:tc>
          <w:tcPr>
            <w:tcW w:w="1701" w:type="dxa"/>
          </w:tcPr>
          <w:p>
            <w:pPr>
              <w:pStyle w:val="33"/>
            </w:pPr>
            <w:r>
              <w:t>2857106.686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Merge w:val="continue"/>
            <w:vAlign w:val="center"/>
          </w:tcPr>
          <w:p>
            <w:pPr>
              <w:pStyle w:val="33"/>
            </w:pPr>
          </w:p>
        </w:tc>
        <w:tc>
          <w:tcPr>
            <w:tcW w:w="708" w:type="dxa"/>
            <w:vAlign w:val="center"/>
          </w:tcPr>
          <w:p>
            <w:pPr>
              <w:pStyle w:val="33"/>
            </w:pPr>
            <w:r>
              <w:t>E04</w:t>
            </w:r>
          </w:p>
        </w:tc>
        <w:tc>
          <w:tcPr>
            <w:tcW w:w="1701" w:type="dxa"/>
            <w:vAlign w:val="center"/>
          </w:tcPr>
          <w:p>
            <w:pPr>
              <w:pStyle w:val="33"/>
            </w:pPr>
            <w:r>
              <w:t>E104°21'2.635"</w:t>
            </w:r>
          </w:p>
        </w:tc>
        <w:tc>
          <w:tcPr>
            <w:tcW w:w="1701" w:type="dxa"/>
            <w:vAlign w:val="center"/>
          </w:tcPr>
          <w:p>
            <w:pPr>
              <w:pStyle w:val="33"/>
            </w:pPr>
            <w:r>
              <w:t>N25°49'12.977"</w:t>
            </w:r>
          </w:p>
        </w:tc>
        <w:tc>
          <w:tcPr>
            <w:tcW w:w="1701" w:type="dxa"/>
          </w:tcPr>
          <w:p>
            <w:pPr>
              <w:pStyle w:val="33"/>
            </w:pPr>
            <w:r>
              <w:t>434897.2896</w:t>
            </w:r>
          </w:p>
        </w:tc>
        <w:tc>
          <w:tcPr>
            <w:tcW w:w="1701" w:type="dxa"/>
          </w:tcPr>
          <w:p>
            <w:pPr>
              <w:pStyle w:val="33"/>
            </w:pPr>
            <w:r>
              <w:t>2857083.707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Merge w:val="continue"/>
            <w:vAlign w:val="center"/>
          </w:tcPr>
          <w:p>
            <w:pPr>
              <w:pStyle w:val="33"/>
            </w:pPr>
          </w:p>
        </w:tc>
        <w:tc>
          <w:tcPr>
            <w:tcW w:w="708" w:type="dxa"/>
            <w:vAlign w:val="center"/>
          </w:tcPr>
          <w:p>
            <w:pPr>
              <w:pStyle w:val="33"/>
            </w:pPr>
            <w:r>
              <w:t>E05</w:t>
            </w:r>
          </w:p>
        </w:tc>
        <w:tc>
          <w:tcPr>
            <w:tcW w:w="1701" w:type="dxa"/>
            <w:vAlign w:val="center"/>
          </w:tcPr>
          <w:p>
            <w:pPr>
              <w:pStyle w:val="33"/>
            </w:pPr>
            <w:r>
              <w:t>E104°20'59.906"</w:t>
            </w:r>
          </w:p>
        </w:tc>
        <w:tc>
          <w:tcPr>
            <w:tcW w:w="1701" w:type="dxa"/>
            <w:vAlign w:val="center"/>
          </w:tcPr>
          <w:p>
            <w:pPr>
              <w:pStyle w:val="33"/>
            </w:pPr>
            <w:r>
              <w:t>N25°49'13.486"</w:t>
            </w:r>
          </w:p>
        </w:tc>
        <w:tc>
          <w:tcPr>
            <w:tcW w:w="1701" w:type="dxa"/>
          </w:tcPr>
          <w:p>
            <w:pPr>
              <w:pStyle w:val="33"/>
            </w:pPr>
            <w:r>
              <w:t>434821.3523</w:t>
            </w:r>
          </w:p>
        </w:tc>
        <w:tc>
          <w:tcPr>
            <w:tcW w:w="1701" w:type="dxa"/>
          </w:tcPr>
          <w:p>
            <w:pPr>
              <w:pStyle w:val="33"/>
            </w:pPr>
            <w:r>
              <w:t>2857099.738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Merge w:val="continue"/>
            <w:vAlign w:val="center"/>
          </w:tcPr>
          <w:p>
            <w:pPr>
              <w:pStyle w:val="33"/>
            </w:pPr>
          </w:p>
        </w:tc>
        <w:tc>
          <w:tcPr>
            <w:tcW w:w="708" w:type="dxa"/>
            <w:vAlign w:val="center"/>
          </w:tcPr>
          <w:p>
            <w:pPr>
              <w:pStyle w:val="33"/>
            </w:pPr>
            <w:r>
              <w:t>E06</w:t>
            </w:r>
          </w:p>
        </w:tc>
        <w:tc>
          <w:tcPr>
            <w:tcW w:w="1701" w:type="dxa"/>
            <w:vAlign w:val="center"/>
          </w:tcPr>
          <w:p>
            <w:pPr>
              <w:pStyle w:val="33"/>
            </w:pPr>
            <w:r>
              <w:t>E104°20'55.710"</w:t>
            </w:r>
          </w:p>
        </w:tc>
        <w:tc>
          <w:tcPr>
            <w:tcW w:w="1701" w:type="dxa"/>
            <w:vAlign w:val="center"/>
          </w:tcPr>
          <w:p>
            <w:pPr>
              <w:pStyle w:val="33"/>
            </w:pPr>
            <w:r>
              <w:t>N25°49'9.918"</w:t>
            </w:r>
          </w:p>
        </w:tc>
        <w:tc>
          <w:tcPr>
            <w:tcW w:w="1701" w:type="dxa"/>
          </w:tcPr>
          <w:p>
            <w:pPr>
              <w:pStyle w:val="33"/>
            </w:pPr>
            <w:r>
              <w:t>434703.9432</w:t>
            </w:r>
          </w:p>
        </w:tc>
        <w:tc>
          <w:tcPr>
            <w:tcW w:w="1701" w:type="dxa"/>
          </w:tcPr>
          <w:p>
            <w:pPr>
              <w:pStyle w:val="33"/>
            </w:pPr>
            <w:r>
              <w:t>2856990.531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Merge w:val="continue"/>
            <w:vAlign w:val="center"/>
          </w:tcPr>
          <w:p>
            <w:pPr>
              <w:pStyle w:val="33"/>
            </w:pPr>
          </w:p>
        </w:tc>
        <w:tc>
          <w:tcPr>
            <w:tcW w:w="708" w:type="dxa"/>
            <w:vAlign w:val="center"/>
          </w:tcPr>
          <w:p>
            <w:pPr>
              <w:pStyle w:val="33"/>
            </w:pPr>
            <w:r>
              <w:t>E07</w:t>
            </w:r>
          </w:p>
        </w:tc>
        <w:tc>
          <w:tcPr>
            <w:tcW w:w="1701" w:type="dxa"/>
            <w:vAlign w:val="center"/>
          </w:tcPr>
          <w:p>
            <w:pPr>
              <w:pStyle w:val="33"/>
            </w:pPr>
            <w:r>
              <w:t>E104°20'44.035"</w:t>
            </w:r>
          </w:p>
        </w:tc>
        <w:tc>
          <w:tcPr>
            <w:tcW w:w="1701" w:type="dxa"/>
            <w:vAlign w:val="center"/>
          </w:tcPr>
          <w:p>
            <w:pPr>
              <w:pStyle w:val="33"/>
            </w:pPr>
            <w:r>
              <w:t>N25°49'0.443"</w:t>
            </w:r>
          </w:p>
        </w:tc>
        <w:tc>
          <w:tcPr>
            <w:tcW w:w="1701" w:type="dxa"/>
          </w:tcPr>
          <w:p>
            <w:pPr>
              <w:pStyle w:val="33"/>
            </w:pPr>
            <w:r>
              <w:t>434377.2924</w:t>
            </w:r>
          </w:p>
        </w:tc>
        <w:tc>
          <w:tcPr>
            <w:tcW w:w="1701" w:type="dxa"/>
          </w:tcPr>
          <w:p>
            <w:pPr>
              <w:pStyle w:val="33"/>
            </w:pPr>
            <w:r>
              <w:t>2856700.547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Merge w:val="continue"/>
            <w:vAlign w:val="center"/>
          </w:tcPr>
          <w:p>
            <w:pPr>
              <w:pStyle w:val="33"/>
            </w:pPr>
          </w:p>
        </w:tc>
        <w:tc>
          <w:tcPr>
            <w:tcW w:w="708" w:type="dxa"/>
            <w:vAlign w:val="center"/>
          </w:tcPr>
          <w:p>
            <w:pPr>
              <w:pStyle w:val="33"/>
            </w:pPr>
            <w:r>
              <w:t>E08</w:t>
            </w:r>
          </w:p>
        </w:tc>
        <w:tc>
          <w:tcPr>
            <w:tcW w:w="1701" w:type="dxa"/>
            <w:vAlign w:val="center"/>
          </w:tcPr>
          <w:p>
            <w:pPr>
              <w:pStyle w:val="33"/>
            </w:pPr>
            <w:r>
              <w:t>E104°20'35.593"</w:t>
            </w:r>
          </w:p>
        </w:tc>
        <w:tc>
          <w:tcPr>
            <w:tcW w:w="1701" w:type="dxa"/>
            <w:vAlign w:val="center"/>
          </w:tcPr>
          <w:p>
            <w:pPr>
              <w:pStyle w:val="33"/>
            </w:pPr>
            <w:r>
              <w:t>N25°48'53.391"</w:t>
            </w:r>
          </w:p>
        </w:tc>
        <w:tc>
          <w:tcPr>
            <w:tcW w:w="1701" w:type="dxa"/>
          </w:tcPr>
          <w:p>
            <w:pPr>
              <w:pStyle w:val="33"/>
            </w:pPr>
            <w:r>
              <w:t>434141.0817</w:t>
            </w:r>
          </w:p>
        </w:tc>
        <w:tc>
          <w:tcPr>
            <w:tcW w:w="1701" w:type="dxa"/>
          </w:tcPr>
          <w:p>
            <w:pPr>
              <w:pStyle w:val="33"/>
            </w:pPr>
            <w:r>
              <w:t>2856484.684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Merge w:val="continue"/>
            <w:vAlign w:val="center"/>
          </w:tcPr>
          <w:p>
            <w:pPr>
              <w:pStyle w:val="33"/>
            </w:pPr>
          </w:p>
        </w:tc>
        <w:tc>
          <w:tcPr>
            <w:tcW w:w="708" w:type="dxa"/>
            <w:vAlign w:val="center"/>
          </w:tcPr>
          <w:p>
            <w:pPr>
              <w:pStyle w:val="33"/>
            </w:pPr>
            <w:r>
              <w:t>E09</w:t>
            </w:r>
          </w:p>
        </w:tc>
        <w:tc>
          <w:tcPr>
            <w:tcW w:w="1701" w:type="dxa"/>
            <w:vAlign w:val="center"/>
          </w:tcPr>
          <w:p>
            <w:pPr>
              <w:pStyle w:val="33"/>
            </w:pPr>
            <w:r>
              <w:t>E104°20'23.903"</w:t>
            </w:r>
          </w:p>
        </w:tc>
        <w:tc>
          <w:tcPr>
            <w:tcW w:w="1701" w:type="dxa"/>
            <w:vAlign w:val="center"/>
          </w:tcPr>
          <w:p>
            <w:pPr>
              <w:pStyle w:val="33"/>
            </w:pPr>
            <w:r>
              <w:t>N25°48'50.811"</w:t>
            </w:r>
          </w:p>
        </w:tc>
        <w:tc>
          <w:tcPr>
            <w:tcW w:w="1701" w:type="dxa"/>
          </w:tcPr>
          <w:p>
            <w:pPr>
              <w:pStyle w:val="33"/>
            </w:pPr>
            <w:r>
              <w:t>433815.0482</w:t>
            </w:r>
          </w:p>
        </w:tc>
        <w:tc>
          <w:tcPr>
            <w:tcW w:w="1701" w:type="dxa"/>
          </w:tcPr>
          <w:p>
            <w:pPr>
              <w:pStyle w:val="33"/>
            </w:pPr>
            <w:r>
              <w:t>2856406.915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Merge w:val="continue"/>
            <w:vAlign w:val="center"/>
          </w:tcPr>
          <w:p>
            <w:pPr>
              <w:pStyle w:val="33"/>
            </w:pPr>
          </w:p>
        </w:tc>
        <w:tc>
          <w:tcPr>
            <w:tcW w:w="708" w:type="dxa"/>
            <w:vAlign w:val="center"/>
          </w:tcPr>
          <w:p>
            <w:pPr>
              <w:pStyle w:val="33"/>
            </w:pPr>
            <w:r>
              <w:t>E10</w:t>
            </w:r>
          </w:p>
        </w:tc>
        <w:tc>
          <w:tcPr>
            <w:tcW w:w="1701" w:type="dxa"/>
            <w:vAlign w:val="center"/>
          </w:tcPr>
          <w:p>
            <w:pPr>
              <w:pStyle w:val="33"/>
            </w:pPr>
            <w:r>
              <w:t>E104°20'21.765"</w:t>
            </w:r>
          </w:p>
        </w:tc>
        <w:tc>
          <w:tcPr>
            <w:tcW w:w="1701" w:type="dxa"/>
            <w:vAlign w:val="center"/>
          </w:tcPr>
          <w:p>
            <w:pPr>
              <w:pStyle w:val="33"/>
            </w:pPr>
            <w:r>
              <w:t>N25°48'55.988"</w:t>
            </w:r>
          </w:p>
        </w:tc>
        <w:tc>
          <w:tcPr>
            <w:tcW w:w="1701" w:type="dxa"/>
          </w:tcPr>
          <w:p>
            <w:pPr>
              <w:pStyle w:val="33"/>
            </w:pPr>
            <w:r>
              <w:t>433756.2948</w:t>
            </w:r>
          </w:p>
        </w:tc>
        <w:tc>
          <w:tcPr>
            <w:tcW w:w="1701" w:type="dxa"/>
          </w:tcPr>
          <w:p>
            <w:pPr>
              <w:pStyle w:val="33"/>
            </w:pPr>
            <w:r>
              <w:t>2856566.537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Merge w:val="continue"/>
            <w:vAlign w:val="center"/>
          </w:tcPr>
          <w:p>
            <w:pPr>
              <w:pStyle w:val="33"/>
            </w:pPr>
          </w:p>
        </w:tc>
        <w:tc>
          <w:tcPr>
            <w:tcW w:w="708" w:type="dxa"/>
            <w:vAlign w:val="center"/>
          </w:tcPr>
          <w:p>
            <w:pPr>
              <w:pStyle w:val="33"/>
            </w:pPr>
            <w:r>
              <w:t>E11</w:t>
            </w:r>
          </w:p>
        </w:tc>
        <w:tc>
          <w:tcPr>
            <w:tcW w:w="1701" w:type="dxa"/>
            <w:vAlign w:val="center"/>
          </w:tcPr>
          <w:p>
            <w:pPr>
              <w:pStyle w:val="33"/>
            </w:pPr>
            <w:r>
              <w:t>E104°20'15.602"</w:t>
            </w:r>
          </w:p>
        </w:tc>
        <w:tc>
          <w:tcPr>
            <w:tcW w:w="1701" w:type="dxa"/>
            <w:vAlign w:val="center"/>
          </w:tcPr>
          <w:p>
            <w:pPr>
              <w:pStyle w:val="33"/>
            </w:pPr>
            <w:r>
              <w:t>N25°49'2.029"</w:t>
            </w:r>
          </w:p>
        </w:tc>
        <w:tc>
          <w:tcPr>
            <w:tcW w:w="1701" w:type="dxa"/>
          </w:tcPr>
          <w:p>
            <w:pPr>
              <w:pStyle w:val="33"/>
            </w:pPr>
            <w:r>
              <w:t>433585.5461</w:t>
            </w:r>
          </w:p>
        </w:tc>
        <w:tc>
          <w:tcPr>
            <w:tcW w:w="1701" w:type="dxa"/>
          </w:tcPr>
          <w:p>
            <w:pPr>
              <w:pStyle w:val="33"/>
            </w:pPr>
            <w:r>
              <w:t>2856753.327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Merge w:val="continue"/>
            <w:vAlign w:val="center"/>
          </w:tcPr>
          <w:p>
            <w:pPr>
              <w:pStyle w:val="33"/>
            </w:pPr>
          </w:p>
        </w:tc>
        <w:tc>
          <w:tcPr>
            <w:tcW w:w="708" w:type="dxa"/>
            <w:vAlign w:val="center"/>
          </w:tcPr>
          <w:p>
            <w:pPr>
              <w:pStyle w:val="33"/>
            </w:pPr>
            <w:r>
              <w:t>E12</w:t>
            </w:r>
          </w:p>
        </w:tc>
        <w:tc>
          <w:tcPr>
            <w:tcW w:w="1701" w:type="dxa"/>
            <w:vAlign w:val="center"/>
          </w:tcPr>
          <w:p>
            <w:pPr>
              <w:pStyle w:val="33"/>
            </w:pPr>
            <w:r>
              <w:t>E104°20'15.462"</w:t>
            </w:r>
          </w:p>
        </w:tc>
        <w:tc>
          <w:tcPr>
            <w:tcW w:w="1701" w:type="dxa"/>
            <w:vAlign w:val="center"/>
          </w:tcPr>
          <w:p>
            <w:pPr>
              <w:pStyle w:val="33"/>
            </w:pPr>
            <w:r>
              <w:t>N25°49'10.548"</w:t>
            </w:r>
          </w:p>
        </w:tc>
        <w:tc>
          <w:tcPr>
            <w:tcW w:w="1701" w:type="dxa"/>
          </w:tcPr>
          <w:p>
            <w:pPr>
              <w:pStyle w:val="33"/>
            </w:pPr>
            <w:r>
              <w:t>433582.9875</w:t>
            </w:r>
          </w:p>
        </w:tc>
        <w:tc>
          <w:tcPr>
            <w:tcW w:w="1701" w:type="dxa"/>
          </w:tcPr>
          <w:p>
            <w:pPr>
              <w:pStyle w:val="33"/>
            </w:pPr>
            <w:r>
              <w:t>2857015.5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Merge w:val="continue"/>
            <w:vAlign w:val="center"/>
          </w:tcPr>
          <w:p>
            <w:pPr>
              <w:pStyle w:val="33"/>
            </w:pPr>
          </w:p>
        </w:tc>
        <w:tc>
          <w:tcPr>
            <w:tcW w:w="708" w:type="dxa"/>
            <w:vAlign w:val="center"/>
          </w:tcPr>
          <w:p>
            <w:pPr>
              <w:pStyle w:val="33"/>
            </w:pPr>
            <w:r>
              <w:t>E13</w:t>
            </w:r>
          </w:p>
        </w:tc>
        <w:tc>
          <w:tcPr>
            <w:tcW w:w="1701" w:type="dxa"/>
            <w:vAlign w:val="center"/>
          </w:tcPr>
          <w:p>
            <w:pPr>
              <w:pStyle w:val="33"/>
            </w:pPr>
            <w:r>
              <w:t>E104°20'20.624"</w:t>
            </w:r>
          </w:p>
        </w:tc>
        <w:tc>
          <w:tcPr>
            <w:tcW w:w="1701" w:type="dxa"/>
            <w:vAlign w:val="center"/>
          </w:tcPr>
          <w:p>
            <w:pPr>
              <w:pStyle w:val="33"/>
            </w:pPr>
            <w:r>
              <w:t>N25°49'13.865"</w:t>
            </w:r>
          </w:p>
        </w:tc>
        <w:tc>
          <w:tcPr>
            <w:tcW w:w="1701" w:type="dxa"/>
          </w:tcPr>
          <w:p>
            <w:pPr>
              <w:pStyle w:val="33"/>
            </w:pPr>
            <w:r>
              <w:t>433727.2744</w:t>
            </w:r>
          </w:p>
        </w:tc>
        <w:tc>
          <w:tcPr>
            <w:tcW w:w="1701" w:type="dxa"/>
          </w:tcPr>
          <w:p>
            <w:pPr>
              <w:pStyle w:val="33"/>
            </w:pPr>
            <w:r>
              <w:t>2857116.875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Merge w:val="continue"/>
            <w:vAlign w:val="center"/>
          </w:tcPr>
          <w:p>
            <w:pPr>
              <w:pStyle w:val="33"/>
            </w:pPr>
          </w:p>
        </w:tc>
        <w:tc>
          <w:tcPr>
            <w:tcW w:w="708" w:type="dxa"/>
            <w:vAlign w:val="center"/>
          </w:tcPr>
          <w:p>
            <w:pPr>
              <w:pStyle w:val="33"/>
            </w:pPr>
            <w:r>
              <w:t>E14</w:t>
            </w:r>
          </w:p>
        </w:tc>
        <w:tc>
          <w:tcPr>
            <w:tcW w:w="1701" w:type="dxa"/>
            <w:vAlign w:val="center"/>
          </w:tcPr>
          <w:p>
            <w:pPr>
              <w:pStyle w:val="33"/>
            </w:pPr>
            <w:r>
              <w:t>E104°20'26.339"</w:t>
            </w:r>
          </w:p>
        </w:tc>
        <w:tc>
          <w:tcPr>
            <w:tcW w:w="1701" w:type="dxa"/>
            <w:vAlign w:val="center"/>
          </w:tcPr>
          <w:p>
            <w:pPr>
              <w:pStyle w:val="33"/>
            </w:pPr>
            <w:r>
              <w:t>N25°49'18.188"</w:t>
            </w:r>
          </w:p>
        </w:tc>
        <w:tc>
          <w:tcPr>
            <w:tcW w:w="1701" w:type="dxa"/>
          </w:tcPr>
          <w:p>
            <w:pPr>
              <w:pStyle w:val="33"/>
            </w:pPr>
            <w:r>
              <w:t>433887.1203</w:t>
            </w:r>
          </w:p>
        </w:tc>
        <w:tc>
          <w:tcPr>
            <w:tcW w:w="1701" w:type="dxa"/>
          </w:tcPr>
          <w:p>
            <w:pPr>
              <w:pStyle w:val="33"/>
            </w:pPr>
            <w:r>
              <w:t>2857249.123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Merge w:val="continue"/>
            <w:vAlign w:val="center"/>
          </w:tcPr>
          <w:p>
            <w:pPr>
              <w:pStyle w:val="33"/>
            </w:pPr>
          </w:p>
        </w:tc>
        <w:tc>
          <w:tcPr>
            <w:tcW w:w="708" w:type="dxa"/>
            <w:vAlign w:val="center"/>
          </w:tcPr>
          <w:p>
            <w:pPr>
              <w:pStyle w:val="33"/>
            </w:pPr>
            <w:r>
              <w:t>E15</w:t>
            </w:r>
          </w:p>
        </w:tc>
        <w:tc>
          <w:tcPr>
            <w:tcW w:w="1701" w:type="dxa"/>
            <w:vAlign w:val="center"/>
          </w:tcPr>
          <w:p>
            <w:pPr>
              <w:pStyle w:val="33"/>
            </w:pPr>
            <w:r>
              <w:t>E104°20'28.672"</w:t>
            </w:r>
          </w:p>
        </w:tc>
        <w:tc>
          <w:tcPr>
            <w:tcW w:w="1701" w:type="dxa"/>
            <w:vAlign w:val="center"/>
          </w:tcPr>
          <w:p>
            <w:pPr>
              <w:pStyle w:val="33"/>
            </w:pPr>
            <w:r>
              <w:t>N25°49'18.543"</w:t>
            </w:r>
          </w:p>
        </w:tc>
        <w:tc>
          <w:tcPr>
            <w:tcW w:w="1701" w:type="dxa"/>
          </w:tcPr>
          <w:p>
            <w:pPr>
              <w:pStyle w:val="33"/>
            </w:pPr>
            <w:r>
              <w:t>433952.1522</w:t>
            </w:r>
          </w:p>
        </w:tc>
        <w:tc>
          <w:tcPr>
            <w:tcW w:w="1701" w:type="dxa"/>
          </w:tcPr>
          <w:p>
            <w:pPr>
              <w:pStyle w:val="33"/>
            </w:pPr>
            <w:r>
              <w:t>2857259.709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Merge w:val="continue"/>
            <w:vAlign w:val="center"/>
          </w:tcPr>
          <w:p>
            <w:pPr>
              <w:pStyle w:val="33"/>
            </w:pPr>
          </w:p>
        </w:tc>
        <w:tc>
          <w:tcPr>
            <w:tcW w:w="708" w:type="dxa"/>
            <w:vAlign w:val="center"/>
          </w:tcPr>
          <w:p>
            <w:pPr>
              <w:pStyle w:val="33"/>
            </w:pPr>
            <w:r>
              <w:t>E16</w:t>
            </w:r>
          </w:p>
        </w:tc>
        <w:tc>
          <w:tcPr>
            <w:tcW w:w="1701" w:type="dxa"/>
            <w:vAlign w:val="center"/>
          </w:tcPr>
          <w:p>
            <w:pPr>
              <w:pStyle w:val="33"/>
            </w:pPr>
            <w:r>
              <w:t>E104°20'35.672"</w:t>
            </w:r>
          </w:p>
        </w:tc>
        <w:tc>
          <w:tcPr>
            <w:tcW w:w="1701" w:type="dxa"/>
            <w:vAlign w:val="center"/>
          </w:tcPr>
          <w:p>
            <w:pPr>
              <w:pStyle w:val="33"/>
            </w:pPr>
            <w:r>
              <w:t>N25°49'26.121"</w:t>
            </w:r>
          </w:p>
        </w:tc>
        <w:tc>
          <w:tcPr>
            <w:tcW w:w="1701" w:type="dxa"/>
          </w:tcPr>
          <w:p>
            <w:pPr>
              <w:pStyle w:val="33"/>
            </w:pPr>
            <w:r>
              <w:t>434148.3002</w:t>
            </w:r>
          </w:p>
        </w:tc>
        <w:tc>
          <w:tcPr>
            <w:tcW w:w="1701" w:type="dxa"/>
          </w:tcPr>
          <w:p>
            <w:pPr>
              <w:pStyle w:val="33"/>
            </w:pPr>
            <w:r>
              <w:t>2857491.943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Merge w:val="continue"/>
            <w:vAlign w:val="center"/>
          </w:tcPr>
          <w:p>
            <w:pPr>
              <w:pStyle w:val="33"/>
            </w:pPr>
          </w:p>
        </w:tc>
        <w:tc>
          <w:tcPr>
            <w:tcW w:w="708" w:type="dxa"/>
            <w:vAlign w:val="center"/>
          </w:tcPr>
          <w:p>
            <w:pPr>
              <w:pStyle w:val="33"/>
            </w:pPr>
            <w:r>
              <w:t>E17</w:t>
            </w:r>
          </w:p>
        </w:tc>
        <w:tc>
          <w:tcPr>
            <w:tcW w:w="1701" w:type="dxa"/>
            <w:vAlign w:val="center"/>
          </w:tcPr>
          <w:p>
            <w:pPr>
              <w:pStyle w:val="33"/>
            </w:pPr>
            <w:r>
              <w:t>E104°20'36.768"</w:t>
            </w:r>
          </w:p>
        </w:tc>
        <w:tc>
          <w:tcPr>
            <w:tcW w:w="1701" w:type="dxa"/>
            <w:vAlign w:val="center"/>
          </w:tcPr>
          <w:p>
            <w:pPr>
              <w:pStyle w:val="33"/>
            </w:pPr>
            <w:r>
              <w:t>N25°49'30.616"</w:t>
            </w:r>
          </w:p>
        </w:tc>
        <w:tc>
          <w:tcPr>
            <w:tcW w:w="1701" w:type="dxa"/>
          </w:tcPr>
          <w:p>
            <w:pPr>
              <w:pStyle w:val="33"/>
            </w:pPr>
            <w:r>
              <w:t>434179.5158</w:t>
            </w:r>
          </w:p>
        </w:tc>
        <w:tc>
          <w:tcPr>
            <w:tcW w:w="1701" w:type="dxa"/>
          </w:tcPr>
          <w:p>
            <w:pPr>
              <w:pStyle w:val="33"/>
            </w:pPr>
            <w:r>
              <w:t>2857630.14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Merge w:val="continue"/>
            <w:vAlign w:val="center"/>
          </w:tcPr>
          <w:p>
            <w:pPr>
              <w:pStyle w:val="33"/>
            </w:pPr>
          </w:p>
        </w:tc>
        <w:tc>
          <w:tcPr>
            <w:tcW w:w="708" w:type="dxa"/>
            <w:vAlign w:val="center"/>
          </w:tcPr>
          <w:p>
            <w:pPr>
              <w:pStyle w:val="33"/>
            </w:pPr>
            <w:r>
              <w:t>E18</w:t>
            </w:r>
          </w:p>
        </w:tc>
        <w:tc>
          <w:tcPr>
            <w:tcW w:w="1701" w:type="dxa"/>
            <w:vAlign w:val="center"/>
          </w:tcPr>
          <w:p>
            <w:pPr>
              <w:pStyle w:val="33"/>
            </w:pPr>
            <w:r>
              <w:t>E104°20'48.496"</w:t>
            </w:r>
          </w:p>
        </w:tc>
        <w:tc>
          <w:tcPr>
            <w:tcW w:w="1701" w:type="dxa"/>
            <w:vAlign w:val="center"/>
          </w:tcPr>
          <w:p>
            <w:pPr>
              <w:pStyle w:val="33"/>
            </w:pPr>
            <w:r>
              <w:t>N25°49'42.829"</w:t>
            </w:r>
          </w:p>
        </w:tc>
        <w:tc>
          <w:tcPr>
            <w:tcW w:w="1701" w:type="dxa"/>
          </w:tcPr>
          <w:p>
            <w:pPr>
              <w:pStyle w:val="33"/>
            </w:pPr>
            <w:r>
              <w:t>434508.0419</w:t>
            </w:r>
          </w:p>
        </w:tc>
        <w:tc>
          <w:tcPr>
            <w:tcW w:w="1701" w:type="dxa"/>
          </w:tcPr>
          <w:p>
            <w:pPr>
              <w:pStyle w:val="33"/>
            </w:pPr>
            <w:r>
              <w:t>2858004.36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Merge w:val="continue"/>
            <w:vAlign w:val="center"/>
          </w:tcPr>
          <w:p>
            <w:pPr>
              <w:pStyle w:val="33"/>
            </w:pPr>
          </w:p>
        </w:tc>
        <w:tc>
          <w:tcPr>
            <w:tcW w:w="708" w:type="dxa"/>
            <w:vAlign w:val="center"/>
          </w:tcPr>
          <w:p>
            <w:pPr>
              <w:pStyle w:val="33"/>
            </w:pPr>
            <w:r>
              <w:t>E19</w:t>
            </w:r>
          </w:p>
        </w:tc>
        <w:tc>
          <w:tcPr>
            <w:tcW w:w="1701" w:type="dxa"/>
            <w:vAlign w:val="center"/>
          </w:tcPr>
          <w:p>
            <w:pPr>
              <w:pStyle w:val="33"/>
            </w:pPr>
            <w:r>
              <w:t>E104°20'55.359"</w:t>
            </w:r>
          </w:p>
        </w:tc>
        <w:tc>
          <w:tcPr>
            <w:tcW w:w="1701" w:type="dxa"/>
            <w:vAlign w:val="center"/>
          </w:tcPr>
          <w:p>
            <w:pPr>
              <w:pStyle w:val="33"/>
            </w:pPr>
            <w:r>
              <w:t>N25°49'42.623"</w:t>
            </w:r>
          </w:p>
        </w:tc>
        <w:tc>
          <w:tcPr>
            <w:tcW w:w="1701" w:type="dxa"/>
          </w:tcPr>
          <w:p>
            <w:pPr>
              <w:pStyle w:val="33"/>
            </w:pPr>
            <w:r>
              <w:t>434699.1559</w:t>
            </w:r>
          </w:p>
        </w:tc>
        <w:tc>
          <w:tcPr>
            <w:tcW w:w="1701" w:type="dxa"/>
          </w:tcPr>
          <w:p>
            <w:pPr>
              <w:pStyle w:val="33"/>
            </w:pPr>
            <w:r>
              <w:t>2857997.08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Merge w:val="continue"/>
            <w:vAlign w:val="center"/>
          </w:tcPr>
          <w:p>
            <w:pPr>
              <w:pStyle w:val="33"/>
            </w:pPr>
          </w:p>
        </w:tc>
        <w:tc>
          <w:tcPr>
            <w:tcW w:w="708" w:type="dxa"/>
            <w:vAlign w:val="center"/>
          </w:tcPr>
          <w:p>
            <w:pPr>
              <w:pStyle w:val="33"/>
            </w:pPr>
            <w:r>
              <w:t>E20</w:t>
            </w:r>
          </w:p>
        </w:tc>
        <w:tc>
          <w:tcPr>
            <w:tcW w:w="1701" w:type="dxa"/>
            <w:vAlign w:val="center"/>
          </w:tcPr>
          <w:p>
            <w:pPr>
              <w:pStyle w:val="33"/>
            </w:pPr>
            <w:r>
              <w:t>E104°21'5.437"</w:t>
            </w:r>
          </w:p>
        </w:tc>
        <w:tc>
          <w:tcPr>
            <w:tcW w:w="1701" w:type="dxa"/>
            <w:vAlign w:val="center"/>
          </w:tcPr>
          <w:p>
            <w:pPr>
              <w:pStyle w:val="33"/>
            </w:pPr>
            <w:r>
              <w:t>N25°49'36.226"</w:t>
            </w:r>
          </w:p>
        </w:tc>
        <w:tc>
          <w:tcPr>
            <w:tcW w:w="1701" w:type="dxa"/>
          </w:tcPr>
          <w:p>
            <w:pPr>
              <w:pStyle w:val="33"/>
            </w:pPr>
            <w:r>
              <w:t>434978.8793</w:t>
            </w:r>
          </w:p>
        </w:tc>
        <w:tc>
          <w:tcPr>
            <w:tcW w:w="1701" w:type="dxa"/>
          </w:tcPr>
          <w:p>
            <w:pPr>
              <w:pStyle w:val="33"/>
            </w:pPr>
            <w:r>
              <w:t>2857798.808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Merge w:val="continue"/>
            <w:vAlign w:val="center"/>
          </w:tcPr>
          <w:p>
            <w:pPr>
              <w:pStyle w:val="33"/>
            </w:pPr>
          </w:p>
        </w:tc>
        <w:tc>
          <w:tcPr>
            <w:tcW w:w="708" w:type="dxa"/>
            <w:vAlign w:val="center"/>
          </w:tcPr>
          <w:p>
            <w:pPr>
              <w:pStyle w:val="33"/>
            </w:pPr>
            <w:r>
              <w:t>E21</w:t>
            </w:r>
          </w:p>
        </w:tc>
        <w:tc>
          <w:tcPr>
            <w:tcW w:w="1701" w:type="dxa"/>
            <w:vAlign w:val="center"/>
          </w:tcPr>
          <w:p>
            <w:pPr>
              <w:pStyle w:val="33"/>
            </w:pPr>
            <w:r>
              <w:t>E104°21'9.456"</w:t>
            </w:r>
          </w:p>
        </w:tc>
        <w:tc>
          <w:tcPr>
            <w:tcW w:w="1701" w:type="dxa"/>
            <w:vAlign w:val="center"/>
          </w:tcPr>
          <w:p>
            <w:pPr>
              <w:pStyle w:val="33"/>
            </w:pPr>
            <w:r>
              <w:t>N25°49'37.912"</w:t>
            </w:r>
          </w:p>
        </w:tc>
        <w:tc>
          <w:tcPr>
            <w:tcW w:w="1701" w:type="dxa"/>
          </w:tcPr>
          <w:p>
            <w:pPr>
              <w:pStyle w:val="33"/>
            </w:pPr>
            <w:r>
              <w:t>435091.0826</w:t>
            </w:r>
          </w:p>
        </w:tc>
        <w:tc>
          <w:tcPr>
            <w:tcW w:w="1701" w:type="dxa"/>
          </w:tcPr>
          <w:p>
            <w:pPr>
              <w:pStyle w:val="33"/>
            </w:pPr>
            <w:r>
              <w:t>2857850.136</w:t>
            </w:r>
          </w:p>
        </w:tc>
      </w:tr>
    </w:tbl>
    <w:p>
      <w:pPr>
        <w:pStyle w:val="33"/>
        <w:jc w:val="left"/>
      </w:pPr>
      <w:bookmarkStart w:id="100" w:name="_Hlk23069444"/>
      <w:r>
        <w:rPr>
          <w:rFonts w:hint="eastAsia"/>
        </w:rPr>
        <w:t>坐标系</w:t>
      </w:r>
      <w:r>
        <w:t>：CGCS2000</w:t>
      </w:r>
      <w:r>
        <w:rPr>
          <w:rFonts w:hint="eastAsia"/>
        </w:rPr>
        <w:t xml:space="preserve"> </w:t>
      </w:r>
      <w:r>
        <w:t xml:space="preserve">3 </w:t>
      </w:r>
      <w:r>
        <w:rPr>
          <w:rFonts w:hint="eastAsia"/>
        </w:rPr>
        <w:t>de</w:t>
      </w:r>
      <w:r>
        <w:t>gree Gauss Kruger CM 105</w:t>
      </w:r>
      <w:r>
        <w:rPr>
          <w:rFonts w:hint="eastAsia"/>
        </w:rPr>
        <w:t>E</w:t>
      </w:r>
      <w:bookmarkEnd w:id="100"/>
    </w:p>
    <w:p>
      <w:pPr>
        <w:ind w:firstLine="480"/>
        <w:rPr>
          <w:rFonts w:cs="Times New Roman"/>
        </w:rPr>
      </w:pPr>
    </w:p>
    <w:p>
      <w:pPr>
        <w:pStyle w:val="4"/>
        <w:spacing w:line="360" w:lineRule="auto"/>
        <w:rPr>
          <w:rFonts w:cs="Times New Roman"/>
        </w:rPr>
      </w:pPr>
      <w:bookmarkStart w:id="101" w:name="_Toc3036"/>
      <w:r>
        <w:rPr>
          <w:rFonts w:cs="Times New Roman"/>
        </w:rPr>
        <w:t>4.5  保护区内土地利用现状</w:t>
      </w:r>
      <w:bookmarkEnd w:id="101"/>
    </w:p>
    <w:p>
      <w:pPr>
        <w:ind w:firstLine="480"/>
        <w:rPr>
          <w:rFonts w:cs="Times New Roman"/>
        </w:rPr>
      </w:pPr>
      <w:r>
        <w:rPr>
          <w:rFonts w:cs="Times New Roman"/>
        </w:rPr>
        <w:t>一级保护区内，旱地面积1.92 hm</w:t>
      </w:r>
      <w:r>
        <w:rPr>
          <w:rFonts w:cs="Times New Roman"/>
          <w:vertAlign w:val="superscript"/>
        </w:rPr>
        <w:t>2</w:t>
      </w:r>
      <w:r>
        <w:rPr>
          <w:rFonts w:cs="Times New Roman"/>
        </w:rPr>
        <w:t>，占一级保护区面积6.62%；乔木林地面积20.86 hm</w:t>
      </w:r>
      <w:r>
        <w:rPr>
          <w:rFonts w:cs="Times New Roman"/>
          <w:vertAlign w:val="superscript"/>
        </w:rPr>
        <w:t>2</w:t>
      </w:r>
      <w:r>
        <w:rPr>
          <w:rFonts w:cs="Times New Roman"/>
        </w:rPr>
        <w:t>，占一级保护区面积72.01%；其他草地面积2.50 hm</w:t>
      </w:r>
      <w:r>
        <w:rPr>
          <w:rFonts w:cs="Times New Roman"/>
          <w:vertAlign w:val="superscript"/>
        </w:rPr>
        <w:t>2</w:t>
      </w:r>
      <w:r>
        <w:rPr>
          <w:rFonts w:cs="Times New Roman"/>
        </w:rPr>
        <w:t>，占一级保护区面积8.62%；水库水面面积0.30 hm</w:t>
      </w:r>
      <w:r>
        <w:rPr>
          <w:rFonts w:cs="Times New Roman"/>
          <w:vertAlign w:val="superscript"/>
        </w:rPr>
        <w:t>2</w:t>
      </w:r>
      <w:r>
        <w:rPr>
          <w:rFonts w:cs="Times New Roman"/>
        </w:rPr>
        <w:t>，占一级保护区面积1.04%；水工建筑用地面积0.55 hm</w:t>
      </w:r>
      <w:r>
        <w:rPr>
          <w:rFonts w:cs="Times New Roman"/>
          <w:vertAlign w:val="superscript"/>
        </w:rPr>
        <w:t>2</w:t>
      </w:r>
      <w:r>
        <w:rPr>
          <w:rFonts w:cs="Times New Roman"/>
        </w:rPr>
        <w:t>，占一级保护区面积1.90%；裸土地面积2.84 hm</w:t>
      </w:r>
      <w:r>
        <w:rPr>
          <w:rFonts w:cs="Times New Roman"/>
          <w:vertAlign w:val="superscript"/>
        </w:rPr>
        <w:t>2</w:t>
      </w:r>
      <w:r>
        <w:rPr>
          <w:rFonts w:cs="Times New Roman"/>
        </w:rPr>
        <w:t>，占一级保护区面积9.81%。</w:t>
      </w:r>
    </w:p>
    <w:p>
      <w:pPr>
        <w:ind w:firstLine="480"/>
        <w:rPr>
          <w:rFonts w:cs="Times New Roman"/>
        </w:rPr>
      </w:pPr>
      <w:r>
        <w:rPr>
          <w:rFonts w:cs="Times New Roman"/>
        </w:rPr>
        <w:t>一级保护区内主要以乔木林地、其他草地和裸土地土地利用类型为主，其中裸土地会随着水库蓄水，逐渐转换为水库水面。旱地面积为1.92 hm</w:t>
      </w:r>
      <w:r>
        <w:rPr>
          <w:rFonts w:cs="Times New Roman"/>
          <w:vertAlign w:val="superscript"/>
        </w:rPr>
        <w:t>2</w:t>
      </w:r>
      <w:r>
        <w:rPr>
          <w:rFonts w:cs="Times New Roman"/>
        </w:rPr>
        <w:t>，其都是在坡地上开垦的耕地，主要种植作物为玉米，由于其坡度大，与水库水面距离近，短期内管理单位应严格禁止其使用无机肥和有机肥，长期内管理单位可以考虑退耕育林以涵养水源。</w:t>
      </w:r>
    </w:p>
    <w:p>
      <w:pPr>
        <w:ind w:firstLine="480"/>
        <w:rPr>
          <w:rFonts w:cs="Times New Roman"/>
        </w:rPr>
      </w:pPr>
      <w:r>
        <w:rPr>
          <w:rFonts w:cs="Times New Roman"/>
        </w:rPr>
        <w:t>二级保护区内，旱地面积0.88 hm</w:t>
      </w:r>
      <w:r>
        <w:rPr>
          <w:rFonts w:cs="Times New Roman"/>
          <w:vertAlign w:val="superscript"/>
        </w:rPr>
        <w:t>2</w:t>
      </w:r>
      <w:r>
        <w:rPr>
          <w:rFonts w:cs="Times New Roman"/>
        </w:rPr>
        <w:t>，占二级保护区面积0.58%；乔木林地面积131.25 hm</w:t>
      </w:r>
      <w:r>
        <w:rPr>
          <w:rFonts w:cs="Times New Roman"/>
          <w:vertAlign w:val="superscript"/>
        </w:rPr>
        <w:t>2</w:t>
      </w:r>
      <w:r>
        <w:rPr>
          <w:rFonts w:cs="Times New Roman"/>
        </w:rPr>
        <w:t>，占二级保护区面积86.33%；灌木林地面积1.87 hm</w:t>
      </w:r>
      <w:r>
        <w:rPr>
          <w:rFonts w:cs="Times New Roman"/>
          <w:vertAlign w:val="superscript"/>
        </w:rPr>
        <w:t>2</w:t>
      </w:r>
      <w:r>
        <w:rPr>
          <w:rFonts w:cs="Times New Roman"/>
        </w:rPr>
        <w:t>，占二级保护区面积1.23%；其他草地面积16.08 hm</w:t>
      </w:r>
      <w:r>
        <w:rPr>
          <w:rFonts w:cs="Times New Roman"/>
          <w:vertAlign w:val="superscript"/>
        </w:rPr>
        <w:t>2</w:t>
      </w:r>
      <w:r>
        <w:rPr>
          <w:rFonts w:cs="Times New Roman"/>
        </w:rPr>
        <w:t>，占二级保护区面积10.58%；公用设施用地面积0.28 hm</w:t>
      </w:r>
      <w:r>
        <w:rPr>
          <w:rFonts w:cs="Times New Roman"/>
          <w:vertAlign w:val="superscript"/>
        </w:rPr>
        <w:t>2</w:t>
      </w:r>
      <w:r>
        <w:rPr>
          <w:rFonts w:cs="Times New Roman"/>
        </w:rPr>
        <w:t>，占二级保护区面积0.18%；农村道路面积1.38 hm</w:t>
      </w:r>
      <w:r>
        <w:rPr>
          <w:rFonts w:cs="Times New Roman"/>
          <w:vertAlign w:val="superscript"/>
        </w:rPr>
        <w:t>2</w:t>
      </w:r>
      <w:r>
        <w:rPr>
          <w:rFonts w:cs="Times New Roman"/>
        </w:rPr>
        <w:t>，占二级保护区面积0.91%；湖泊水面面积0.30 hm</w:t>
      </w:r>
      <w:r>
        <w:rPr>
          <w:rFonts w:cs="Times New Roman"/>
          <w:vertAlign w:val="superscript"/>
        </w:rPr>
        <w:t>2</w:t>
      </w:r>
      <w:r>
        <w:rPr>
          <w:rFonts w:cs="Times New Roman"/>
        </w:rPr>
        <w:t>，占二级保护区面积0.19%。</w:t>
      </w:r>
    </w:p>
    <w:p>
      <w:pPr>
        <w:ind w:firstLine="480"/>
        <w:rPr>
          <w:rFonts w:cs="Times New Roman"/>
        </w:rPr>
      </w:pPr>
      <w:r>
        <w:rPr>
          <w:rFonts w:cs="Times New Roman"/>
        </w:rPr>
        <w:t>二级保护区内主要以乔木林地和其他草地用地类型为主，两者合计面积147.33 hm</w:t>
      </w:r>
      <w:r>
        <w:rPr>
          <w:rFonts w:cs="Times New Roman"/>
          <w:vertAlign w:val="superscript"/>
        </w:rPr>
        <w:t>2</w:t>
      </w:r>
      <w:r>
        <w:rPr>
          <w:rFonts w:cs="Times New Roman"/>
        </w:rPr>
        <w:t>，占二级保护区面积96.91%。公用设施用地中是输电电塔和浑水塘林场管理房，两个建筑都没有外排污染物。</w:t>
      </w:r>
    </w:p>
    <w:p>
      <w:pPr>
        <w:pStyle w:val="37"/>
        <w:spacing w:before="156" w:after="156"/>
      </w:pPr>
      <w:r>
        <w:t>表4-4  保护区内土地利用现状表</w:t>
      </w:r>
    </w:p>
    <w:p>
      <w:pPr>
        <w:ind w:firstLine="0" w:firstLineChars="0"/>
        <w:jc w:val="right"/>
        <w:rPr>
          <w:rFonts w:cs="Times New Roman"/>
          <w:sz w:val="21"/>
          <w:szCs w:val="20"/>
        </w:rPr>
      </w:pPr>
      <w:r>
        <w:rPr>
          <w:rFonts w:cs="Times New Roman"/>
          <w:sz w:val="21"/>
          <w:szCs w:val="20"/>
        </w:rPr>
        <w:t>单位：hm</w:t>
      </w:r>
      <w:r>
        <w:rPr>
          <w:rFonts w:cs="Times New Roman"/>
          <w:sz w:val="21"/>
          <w:szCs w:val="20"/>
          <w:vertAlign w:val="superscript"/>
        </w:rPr>
        <w:t>2</w:t>
      </w:r>
      <w:r>
        <w:rPr>
          <w:rFonts w:cs="Times New Roman"/>
          <w:sz w:val="21"/>
          <w:szCs w:val="20"/>
        </w:rPr>
        <w:t>、%</w:t>
      </w:r>
    </w:p>
    <w:tbl>
      <w:tblPr>
        <w:tblStyle w:val="24"/>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4"/>
        <w:gridCol w:w="2074"/>
        <w:gridCol w:w="207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pStyle w:val="33"/>
            </w:pPr>
            <w:r>
              <w:t>保护区级别</w:t>
            </w:r>
          </w:p>
        </w:tc>
        <w:tc>
          <w:tcPr>
            <w:tcW w:w="2074" w:type="dxa"/>
          </w:tcPr>
          <w:p>
            <w:pPr>
              <w:pStyle w:val="33"/>
            </w:pPr>
            <w:r>
              <w:t>土地类别</w:t>
            </w:r>
          </w:p>
        </w:tc>
        <w:tc>
          <w:tcPr>
            <w:tcW w:w="2074" w:type="dxa"/>
          </w:tcPr>
          <w:p>
            <w:pPr>
              <w:pStyle w:val="33"/>
            </w:pPr>
            <w:r>
              <w:t>面积</w:t>
            </w:r>
          </w:p>
        </w:tc>
        <w:tc>
          <w:tcPr>
            <w:tcW w:w="2074" w:type="dxa"/>
          </w:tcPr>
          <w:p>
            <w:pPr>
              <w:pStyle w:val="33"/>
            </w:pPr>
            <w: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Merge w:val="restart"/>
            <w:vAlign w:val="center"/>
          </w:tcPr>
          <w:p>
            <w:pPr>
              <w:pStyle w:val="33"/>
            </w:pPr>
            <w:r>
              <w:t>一</w:t>
            </w:r>
          </w:p>
          <w:p>
            <w:pPr>
              <w:pStyle w:val="33"/>
            </w:pPr>
            <w:r>
              <w:t>级</w:t>
            </w:r>
          </w:p>
          <w:p>
            <w:pPr>
              <w:pStyle w:val="33"/>
            </w:pPr>
            <w:r>
              <w:t>保</w:t>
            </w:r>
          </w:p>
          <w:p>
            <w:pPr>
              <w:pStyle w:val="33"/>
            </w:pPr>
            <w:r>
              <w:t>护</w:t>
            </w:r>
          </w:p>
          <w:p>
            <w:pPr>
              <w:pStyle w:val="33"/>
            </w:pPr>
            <w:r>
              <w:t>区</w:t>
            </w:r>
          </w:p>
        </w:tc>
        <w:tc>
          <w:tcPr>
            <w:tcW w:w="2074" w:type="dxa"/>
          </w:tcPr>
          <w:p>
            <w:pPr>
              <w:pStyle w:val="33"/>
            </w:pPr>
            <w:r>
              <w:t>旱地</w:t>
            </w:r>
          </w:p>
        </w:tc>
        <w:tc>
          <w:tcPr>
            <w:tcW w:w="2074" w:type="dxa"/>
          </w:tcPr>
          <w:p>
            <w:pPr>
              <w:pStyle w:val="33"/>
            </w:pPr>
            <w:r>
              <w:t>1.92</w:t>
            </w:r>
          </w:p>
        </w:tc>
        <w:tc>
          <w:tcPr>
            <w:tcW w:w="2074" w:type="dxa"/>
          </w:tcPr>
          <w:p>
            <w:pPr>
              <w:pStyle w:val="33"/>
            </w:pPr>
            <w:r>
              <w:t>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Merge w:val="continue"/>
          </w:tcPr>
          <w:p>
            <w:pPr>
              <w:pStyle w:val="33"/>
            </w:pPr>
          </w:p>
        </w:tc>
        <w:tc>
          <w:tcPr>
            <w:tcW w:w="2074" w:type="dxa"/>
          </w:tcPr>
          <w:p>
            <w:pPr>
              <w:pStyle w:val="33"/>
            </w:pPr>
            <w:r>
              <w:t>乔木林地</w:t>
            </w:r>
          </w:p>
        </w:tc>
        <w:tc>
          <w:tcPr>
            <w:tcW w:w="2074" w:type="dxa"/>
          </w:tcPr>
          <w:p>
            <w:pPr>
              <w:pStyle w:val="33"/>
            </w:pPr>
            <w:r>
              <w:t>20.86</w:t>
            </w:r>
          </w:p>
        </w:tc>
        <w:tc>
          <w:tcPr>
            <w:tcW w:w="2074" w:type="dxa"/>
          </w:tcPr>
          <w:p>
            <w:pPr>
              <w:pStyle w:val="33"/>
            </w:pPr>
            <w:r>
              <w:t>72.01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Merge w:val="continue"/>
          </w:tcPr>
          <w:p>
            <w:pPr>
              <w:pStyle w:val="33"/>
            </w:pPr>
          </w:p>
        </w:tc>
        <w:tc>
          <w:tcPr>
            <w:tcW w:w="2074" w:type="dxa"/>
          </w:tcPr>
          <w:p>
            <w:pPr>
              <w:pStyle w:val="33"/>
            </w:pPr>
            <w:r>
              <w:t>其他草地</w:t>
            </w:r>
          </w:p>
        </w:tc>
        <w:tc>
          <w:tcPr>
            <w:tcW w:w="2074" w:type="dxa"/>
          </w:tcPr>
          <w:p>
            <w:pPr>
              <w:pStyle w:val="33"/>
            </w:pPr>
            <w:r>
              <w:t>2.50</w:t>
            </w:r>
          </w:p>
        </w:tc>
        <w:tc>
          <w:tcPr>
            <w:tcW w:w="2074" w:type="dxa"/>
          </w:tcPr>
          <w:p>
            <w:pPr>
              <w:pStyle w:val="33"/>
            </w:pPr>
            <w:r>
              <w:t>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Merge w:val="continue"/>
          </w:tcPr>
          <w:p>
            <w:pPr>
              <w:pStyle w:val="33"/>
            </w:pPr>
          </w:p>
        </w:tc>
        <w:tc>
          <w:tcPr>
            <w:tcW w:w="2074" w:type="dxa"/>
          </w:tcPr>
          <w:p>
            <w:pPr>
              <w:pStyle w:val="33"/>
            </w:pPr>
            <w:r>
              <w:t>水库水面</w:t>
            </w:r>
          </w:p>
        </w:tc>
        <w:tc>
          <w:tcPr>
            <w:tcW w:w="2074" w:type="dxa"/>
          </w:tcPr>
          <w:p>
            <w:pPr>
              <w:pStyle w:val="33"/>
            </w:pPr>
            <w:r>
              <w:t>0.30</w:t>
            </w:r>
          </w:p>
        </w:tc>
        <w:tc>
          <w:tcPr>
            <w:tcW w:w="2074" w:type="dxa"/>
          </w:tcPr>
          <w:p>
            <w:pPr>
              <w:pStyle w:val="33"/>
            </w:pPr>
            <w: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Merge w:val="continue"/>
          </w:tcPr>
          <w:p>
            <w:pPr>
              <w:pStyle w:val="33"/>
            </w:pPr>
          </w:p>
        </w:tc>
        <w:tc>
          <w:tcPr>
            <w:tcW w:w="2074" w:type="dxa"/>
          </w:tcPr>
          <w:p>
            <w:pPr>
              <w:pStyle w:val="33"/>
            </w:pPr>
            <w:r>
              <w:t>水工建筑用地</w:t>
            </w:r>
          </w:p>
        </w:tc>
        <w:tc>
          <w:tcPr>
            <w:tcW w:w="2074" w:type="dxa"/>
          </w:tcPr>
          <w:p>
            <w:pPr>
              <w:pStyle w:val="33"/>
            </w:pPr>
            <w:r>
              <w:t>0.55</w:t>
            </w:r>
          </w:p>
        </w:tc>
        <w:tc>
          <w:tcPr>
            <w:tcW w:w="2074" w:type="dxa"/>
          </w:tcPr>
          <w:p>
            <w:pPr>
              <w:pStyle w:val="33"/>
            </w:pPr>
            <w: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Merge w:val="continue"/>
          </w:tcPr>
          <w:p>
            <w:pPr>
              <w:pStyle w:val="33"/>
            </w:pPr>
          </w:p>
        </w:tc>
        <w:tc>
          <w:tcPr>
            <w:tcW w:w="2074" w:type="dxa"/>
          </w:tcPr>
          <w:p>
            <w:pPr>
              <w:pStyle w:val="33"/>
            </w:pPr>
            <w:r>
              <w:t>裸土地</w:t>
            </w:r>
          </w:p>
        </w:tc>
        <w:tc>
          <w:tcPr>
            <w:tcW w:w="2074" w:type="dxa"/>
          </w:tcPr>
          <w:p>
            <w:pPr>
              <w:pStyle w:val="33"/>
            </w:pPr>
            <w:r>
              <w:t>2.84</w:t>
            </w:r>
          </w:p>
        </w:tc>
        <w:tc>
          <w:tcPr>
            <w:tcW w:w="2074" w:type="dxa"/>
          </w:tcPr>
          <w:p>
            <w:pPr>
              <w:pStyle w:val="33"/>
            </w:pPr>
            <w:r>
              <w:t>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gridSpan w:val="2"/>
          </w:tcPr>
          <w:p>
            <w:pPr>
              <w:pStyle w:val="33"/>
            </w:pPr>
            <w:r>
              <w:t>合计</w:t>
            </w:r>
          </w:p>
        </w:tc>
        <w:tc>
          <w:tcPr>
            <w:tcW w:w="2074" w:type="dxa"/>
          </w:tcPr>
          <w:p>
            <w:pPr>
              <w:pStyle w:val="33"/>
            </w:pPr>
            <w:r>
              <w:t>28.96</w:t>
            </w:r>
          </w:p>
        </w:tc>
        <w:tc>
          <w:tcPr>
            <w:tcW w:w="2074" w:type="dxa"/>
          </w:tcPr>
          <w:p>
            <w:pPr>
              <w:pStyle w:val="33"/>
            </w:pPr>
            <w: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Merge w:val="restart"/>
            <w:vAlign w:val="center"/>
          </w:tcPr>
          <w:p>
            <w:pPr>
              <w:pStyle w:val="33"/>
            </w:pPr>
            <w:r>
              <w:t>二</w:t>
            </w:r>
          </w:p>
          <w:p>
            <w:pPr>
              <w:pStyle w:val="33"/>
            </w:pPr>
            <w:r>
              <w:t>级</w:t>
            </w:r>
          </w:p>
          <w:p>
            <w:pPr>
              <w:pStyle w:val="33"/>
            </w:pPr>
            <w:r>
              <w:t>保</w:t>
            </w:r>
          </w:p>
          <w:p>
            <w:pPr>
              <w:pStyle w:val="33"/>
            </w:pPr>
            <w:r>
              <w:t>护</w:t>
            </w:r>
          </w:p>
          <w:p>
            <w:pPr>
              <w:pStyle w:val="33"/>
            </w:pPr>
            <w:r>
              <w:t>区</w:t>
            </w:r>
          </w:p>
        </w:tc>
        <w:tc>
          <w:tcPr>
            <w:tcW w:w="2074" w:type="dxa"/>
          </w:tcPr>
          <w:p>
            <w:pPr>
              <w:pStyle w:val="33"/>
            </w:pPr>
            <w:r>
              <w:t>旱地</w:t>
            </w:r>
          </w:p>
        </w:tc>
        <w:tc>
          <w:tcPr>
            <w:tcW w:w="2074" w:type="dxa"/>
          </w:tcPr>
          <w:p>
            <w:pPr>
              <w:pStyle w:val="33"/>
            </w:pPr>
            <w:r>
              <w:t>0.88</w:t>
            </w:r>
          </w:p>
        </w:tc>
        <w:tc>
          <w:tcPr>
            <w:tcW w:w="2074" w:type="dxa"/>
          </w:tcPr>
          <w:p>
            <w:pPr>
              <w:pStyle w:val="33"/>
            </w:pPr>
            <w:r>
              <w:t>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Merge w:val="continue"/>
          </w:tcPr>
          <w:p>
            <w:pPr>
              <w:pStyle w:val="33"/>
            </w:pPr>
          </w:p>
        </w:tc>
        <w:tc>
          <w:tcPr>
            <w:tcW w:w="2074" w:type="dxa"/>
          </w:tcPr>
          <w:p>
            <w:pPr>
              <w:pStyle w:val="33"/>
            </w:pPr>
            <w:r>
              <w:t>乔木林地</w:t>
            </w:r>
          </w:p>
        </w:tc>
        <w:tc>
          <w:tcPr>
            <w:tcW w:w="2074" w:type="dxa"/>
          </w:tcPr>
          <w:p>
            <w:pPr>
              <w:pStyle w:val="33"/>
            </w:pPr>
            <w:r>
              <w:t>131.25</w:t>
            </w:r>
          </w:p>
        </w:tc>
        <w:tc>
          <w:tcPr>
            <w:tcW w:w="2074" w:type="dxa"/>
          </w:tcPr>
          <w:p>
            <w:pPr>
              <w:pStyle w:val="33"/>
            </w:pPr>
            <w:r>
              <w:t>86.33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Merge w:val="continue"/>
          </w:tcPr>
          <w:p>
            <w:pPr>
              <w:pStyle w:val="33"/>
            </w:pPr>
          </w:p>
        </w:tc>
        <w:tc>
          <w:tcPr>
            <w:tcW w:w="2074" w:type="dxa"/>
          </w:tcPr>
          <w:p>
            <w:pPr>
              <w:pStyle w:val="33"/>
            </w:pPr>
            <w:r>
              <w:t>灌木林地</w:t>
            </w:r>
          </w:p>
        </w:tc>
        <w:tc>
          <w:tcPr>
            <w:tcW w:w="2074" w:type="dxa"/>
          </w:tcPr>
          <w:p>
            <w:pPr>
              <w:pStyle w:val="33"/>
            </w:pPr>
            <w:r>
              <w:t>1.87</w:t>
            </w:r>
          </w:p>
        </w:tc>
        <w:tc>
          <w:tcPr>
            <w:tcW w:w="2074" w:type="dxa"/>
          </w:tcPr>
          <w:p>
            <w:pPr>
              <w:pStyle w:val="33"/>
            </w:pPr>
            <w: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Merge w:val="continue"/>
          </w:tcPr>
          <w:p>
            <w:pPr>
              <w:pStyle w:val="33"/>
            </w:pPr>
          </w:p>
        </w:tc>
        <w:tc>
          <w:tcPr>
            <w:tcW w:w="2074" w:type="dxa"/>
          </w:tcPr>
          <w:p>
            <w:pPr>
              <w:pStyle w:val="33"/>
            </w:pPr>
            <w:r>
              <w:t>其他草地</w:t>
            </w:r>
          </w:p>
        </w:tc>
        <w:tc>
          <w:tcPr>
            <w:tcW w:w="2074" w:type="dxa"/>
          </w:tcPr>
          <w:p>
            <w:pPr>
              <w:pStyle w:val="33"/>
            </w:pPr>
            <w:r>
              <w:t>16.08</w:t>
            </w:r>
          </w:p>
        </w:tc>
        <w:tc>
          <w:tcPr>
            <w:tcW w:w="2074" w:type="dxa"/>
          </w:tcPr>
          <w:p>
            <w:pPr>
              <w:pStyle w:val="33"/>
            </w:pPr>
            <w:r>
              <w:t>10.58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Merge w:val="continue"/>
          </w:tcPr>
          <w:p>
            <w:pPr>
              <w:pStyle w:val="33"/>
            </w:pPr>
          </w:p>
        </w:tc>
        <w:tc>
          <w:tcPr>
            <w:tcW w:w="2074" w:type="dxa"/>
          </w:tcPr>
          <w:p>
            <w:pPr>
              <w:pStyle w:val="33"/>
            </w:pPr>
            <w:r>
              <w:t>公用设施用地</w:t>
            </w:r>
          </w:p>
        </w:tc>
        <w:tc>
          <w:tcPr>
            <w:tcW w:w="2074" w:type="dxa"/>
          </w:tcPr>
          <w:p>
            <w:pPr>
              <w:pStyle w:val="33"/>
            </w:pPr>
            <w:r>
              <w:t>0.28</w:t>
            </w:r>
          </w:p>
        </w:tc>
        <w:tc>
          <w:tcPr>
            <w:tcW w:w="2074" w:type="dxa"/>
          </w:tcPr>
          <w:p>
            <w:pPr>
              <w:pStyle w:val="33"/>
            </w:pPr>
            <w:r>
              <w:t>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Merge w:val="continue"/>
          </w:tcPr>
          <w:p>
            <w:pPr>
              <w:pStyle w:val="33"/>
            </w:pPr>
          </w:p>
        </w:tc>
        <w:tc>
          <w:tcPr>
            <w:tcW w:w="2074" w:type="dxa"/>
          </w:tcPr>
          <w:p>
            <w:pPr>
              <w:pStyle w:val="33"/>
            </w:pPr>
            <w:r>
              <w:t>农村道路</w:t>
            </w:r>
          </w:p>
        </w:tc>
        <w:tc>
          <w:tcPr>
            <w:tcW w:w="2074" w:type="dxa"/>
          </w:tcPr>
          <w:p>
            <w:pPr>
              <w:pStyle w:val="33"/>
            </w:pPr>
            <w:r>
              <w:t>1.38</w:t>
            </w:r>
          </w:p>
        </w:tc>
        <w:tc>
          <w:tcPr>
            <w:tcW w:w="2074" w:type="dxa"/>
          </w:tcPr>
          <w:p>
            <w:pPr>
              <w:pStyle w:val="33"/>
            </w:pPr>
            <w:r>
              <w:t>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Merge w:val="continue"/>
          </w:tcPr>
          <w:p>
            <w:pPr>
              <w:pStyle w:val="33"/>
            </w:pPr>
          </w:p>
        </w:tc>
        <w:tc>
          <w:tcPr>
            <w:tcW w:w="2074" w:type="dxa"/>
          </w:tcPr>
          <w:p>
            <w:pPr>
              <w:pStyle w:val="33"/>
            </w:pPr>
            <w:r>
              <w:t>湖泊水面</w:t>
            </w:r>
          </w:p>
        </w:tc>
        <w:tc>
          <w:tcPr>
            <w:tcW w:w="2074" w:type="dxa"/>
          </w:tcPr>
          <w:p>
            <w:pPr>
              <w:pStyle w:val="33"/>
            </w:pPr>
            <w:r>
              <w:t>0.30</w:t>
            </w:r>
          </w:p>
        </w:tc>
        <w:tc>
          <w:tcPr>
            <w:tcW w:w="2074" w:type="dxa"/>
          </w:tcPr>
          <w:p>
            <w:pPr>
              <w:pStyle w:val="33"/>
            </w:pPr>
            <w:r>
              <w:t>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gridSpan w:val="2"/>
          </w:tcPr>
          <w:p>
            <w:pPr>
              <w:pStyle w:val="33"/>
            </w:pPr>
            <w:r>
              <w:t>合计</w:t>
            </w:r>
          </w:p>
        </w:tc>
        <w:tc>
          <w:tcPr>
            <w:tcW w:w="2074" w:type="dxa"/>
          </w:tcPr>
          <w:p>
            <w:pPr>
              <w:pStyle w:val="33"/>
            </w:pPr>
            <w:r>
              <w:t>152.04</w:t>
            </w:r>
          </w:p>
        </w:tc>
        <w:tc>
          <w:tcPr>
            <w:tcW w:w="2074" w:type="dxa"/>
          </w:tcPr>
          <w:p>
            <w:pPr>
              <w:pStyle w:val="33"/>
            </w:pPr>
            <w:r>
              <w:t>100.00</w:t>
            </w:r>
          </w:p>
        </w:tc>
      </w:tr>
    </w:tbl>
    <w:p>
      <w:pPr>
        <w:ind w:firstLine="480"/>
        <w:rPr>
          <w:rFonts w:cs="Times New Roman"/>
        </w:rPr>
      </w:pPr>
    </w:p>
    <w:p>
      <w:pPr>
        <w:pStyle w:val="3"/>
        <w:rPr>
          <w:rFonts w:cs="Times New Roman"/>
        </w:rPr>
      </w:pPr>
      <w:bookmarkStart w:id="102" w:name="_Toc15260"/>
      <w:bookmarkStart w:id="103" w:name="_Toc2665_WPSOffice_Level1"/>
      <w:bookmarkStart w:id="104" w:name="_Toc4441_WPSOffice_Level1"/>
      <w:r>
        <w:rPr>
          <w:rFonts w:cs="Times New Roman"/>
        </w:rPr>
        <w:t>第五章</w:t>
      </w:r>
      <w:r>
        <w:rPr>
          <w:rFonts w:hint="eastAsia" w:cs="Times New Roman"/>
        </w:rPr>
        <w:t xml:space="preserve"> </w:t>
      </w:r>
      <w:r>
        <w:rPr>
          <w:rFonts w:cs="Times New Roman"/>
        </w:rPr>
        <w:t xml:space="preserve"> 保护区规范化建设与管理要求</w:t>
      </w:r>
      <w:bookmarkEnd w:id="102"/>
      <w:bookmarkEnd w:id="103"/>
      <w:bookmarkEnd w:id="104"/>
    </w:p>
    <w:p>
      <w:pPr>
        <w:pStyle w:val="4"/>
        <w:rPr>
          <w:rFonts w:cs="Times New Roman"/>
          <w:szCs w:val="24"/>
        </w:rPr>
      </w:pPr>
      <w:bookmarkStart w:id="105" w:name="_Toc16342"/>
      <w:r>
        <w:rPr>
          <w:rFonts w:hint="eastAsia" w:cs="Times New Roman"/>
          <w:szCs w:val="24"/>
        </w:rPr>
        <w:t>5</w:t>
      </w:r>
      <w:r>
        <w:rPr>
          <w:rFonts w:cs="Times New Roman"/>
          <w:szCs w:val="24"/>
        </w:rPr>
        <w:t xml:space="preserve">.1  </w:t>
      </w:r>
      <w:r>
        <w:rPr>
          <w:rFonts w:hint="eastAsia"/>
        </w:rPr>
        <w:t>法律法规体系建设</w:t>
      </w:r>
      <w:bookmarkEnd w:id="105"/>
    </w:p>
    <w:p>
      <w:pPr>
        <w:ind w:firstLine="480"/>
        <w:rPr>
          <w:rFonts w:cs="Times New Roman"/>
          <w:kern w:val="0"/>
          <w:szCs w:val="24"/>
        </w:rPr>
      </w:pPr>
      <w:r>
        <w:rPr>
          <w:rFonts w:cs="Times New Roman"/>
          <w:szCs w:val="24"/>
        </w:rPr>
        <w:t>桂花水库</w:t>
      </w:r>
      <w:r>
        <w:rPr>
          <w:rFonts w:cs="Times New Roman"/>
          <w:kern w:val="0"/>
          <w:szCs w:val="24"/>
        </w:rPr>
        <w:t>饮用水源地目前均未建立完整的环境保护管理办法，也未建立相应的监测实施方案和应急预案。</w:t>
      </w:r>
    </w:p>
    <w:p>
      <w:pPr>
        <w:ind w:firstLine="480"/>
        <w:rPr>
          <w:rFonts w:cs="Times New Roman"/>
          <w:szCs w:val="24"/>
        </w:rPr>
      </w:pPr>
      <w:r>
        <w:rPr>
          <w:rFonts w:cs="Times New Roman"/>
          <w:kern w:val="0"/>
          <w:szCs w:val="24"/>
        </w:rPr>
        <w:t>对此，应进一步</w:t>
      </w:r>
      <w:r>
        <w:rPr>
          <w:rFonts w:cs="Times New Roman"/>
          <w:szCs w:val="24"/>
        </w:rPr>
        <w:t>桂花水库</w:t>
      </w:r>
      <w:r>
        <w:rPr>
          <w:rFonts w:cs="Times New Roman"/>
          <w:kern w:val="0"/>
          <w:szCs w:val="24"/>
        </w:rPr>
        <w:t>环境管理体系，制定《</w:t>
      </w:r>
      <w:r>
        <w:rPr>
          <w:rFonts w:cs="Times New Roman"/>
          <w:szCs w:val="24"/>
        </w:rPr>
        <w:t>桂花水库</w:t>
      </w:r>
      <w:r>
        <w:rPr>
          <w:rFonts w:cs="Times New Roman"/>
          <w:kern w:val="0"/>
          <w:szCs w:val="24"/>
        </w:rPr>
        <w:t>饮用水源地环境保护管理办法》，通过制度化、规范化的环境管理制度对</w:t>
      </w:r>
      <w:r>
        <w:rPr>
          <w:rFonts w:cs="Times New Roman"/>
          <w:szCs w:val="24"/>
        </w:rPr>
        <w:t>桂花水库</w:t>
      </w:r>
      <w:r>
        <w:rPr>
          <w:rFonts w:cs="Times New Roman"/>
          <w:kern w:val="0"/>
          <w:szCs w:val="24"/>
        </w:rPr>
        <w:t>保护区范围内水体和土壤进行保护，按照《中华人民共和国水污染防治法》、《中华人民共和国水污染防治法实施细则》等法律法规规则的要求对现有污染源进行严格管控，对新建项目实施规范化审批和管理。同时，制定《</w:t>
      </w:r>
      <w:r>
        <w:rPr>
          <w:rFonts w:hint="eastAsia" w:ascii="宋体" w:hAnsi="宋体" w:cs="宋体"/>
          <w:kern w:val="0"/>
          <w:szCs w:val="24"/>
        </w:rPr>
        <w:t>富源县</w:t>
      </w:r>
      <w:r>
        <w:rPr>
          <w:rFonts w:cs="Times New Roman"/>
          <w:szCs w:val="24"/>
        </w:rPr>
        <w:t>桂花水库</w:t>
      </w:r>
      <w:r>
        <w:rPr>
          <w:rFonts w:cs="Times New Roman"/>
          <w:kern w:val="0"/>
          <w:szCs w:val="24"/>
        </w:rPr>
        <w:t>环境监测实施方案》随时掌握水库水质现状。制定《</w:t>
      </w:r>
      <w:r>
        <w:rPr>
          <w:rFonts w:hint="eastAsia" w:ascii="宋体" w:hAnsi="宋体" w:cs="宋体"/>
          <w:kern w:val="0"/>
          <w:szCs w:val="24"/>
        </w:rPr>
        <w:t>富源县</w:t>
      </w:r>
      <w:r>
        <w:rPr>
          <w:rFonts w:cs="Times New Roman"/>
          <w:szCs w:val="24"/>
        </w:rPr>
        <w:t>桂花水库</w:t>
      </w:r>
      <w:r>
        <w:rPr>
          <w:rFonts w:cs="Times New Roman"/>
          <w:kern w:val="0"/>
          <w:szCs w:val="24"/>
        </w:rPr>
        <w:t>饮用水源地突发环境事件应急预案》做好</w:t>
      </w:r>
      <w:r>
        <w:rPr>
          <w:rFonts w:cs="Times New Roman"/>
          <w:szCs w:val="24"/>
        </w:rPr>
        <w:t>桂花水库</w:t>
      </w:r>
      <w:r>
        <w:rPr>
          <w:rFonts w:cs="Times New Roman"/>
          <w:kern w:val="0"/>
          <w:szCs w:val="24"/>
        </w:rPr>
        <w:t>饮用水源地环境风险的排查和预防工作，加强对</w:t>
      </w:r>
      <w:r>
        <w:rPr>
          <w:rFonts w:cs="Times New Roman"/>
          <w:szCs w:val="24"/>
        </w:rPr>
        <w:t>桂花水库</w:t>
      </w:r>
      <w:r>
        <w:rPr>
          <w:rFonts w:cs="Times New Roman"/>
          <w:kern w:val="0"/>
          <w:szCs w:val="24"/>
        </w:rPr>
        <w:t>饮用水源地环境风险的应对，坚决杜绝环境污染隐患，确保饮用水质安全。</w:t>
      </w:r>
    </w:p>
    <w:p>
      <w:pPr>
        <w:pStyle w:val="4"/>
        <w:spacing w:line="360" w:lineRule="auto"/>
        <w:rPr>
          <w:rFonts w:cs="Times New Roman"/>
        </w:rPr>
      </w:pPr>
      <w:bookmarkStart w:id="106" w:name="_Toc24103"/>
      <w:r>
        <w:rPr>
          <w:rFonts w:cs="Times New Roman"/>
        </w:rPr>
        <w:t>5.2  监测能力建设</w:t>
      </w:r>
      <w:bookmarkEnd w:id="106"/>
    </w:p>
    <w:p>
      <w:pPr>
        <w:ind w:firstLine="480"/>
      </w:pPr>
      <w:r>
        <w:rPr>
          <w:shd w:val="clear" w:color="auto" w:fill="FFFFFF"/>
        </w:rPr>
        <w:t>桂花水库目前尚未建立相应的水质监测制度和水质监测方案。对此，</w:t>
      </w:r>
      <w:r>
        <w:t>桂花水库</w:t>
      </w:r>
      <w:r>
        <w:rPr>
          <w:shd w:val="clear" w:color="auto" w:fill="FFFFFF"/>
        </w:rPr>
        <w:t>饮用水源地应进一步完善饮用水源地水质监测制度，完善饮用水源地水质监测项目，委托有资质的单位定期对水库水质进行监测，同时也对浑水塘水质进行监测，预防地下雨季水水质超标影响水库水质。同时，加强饮用水源地环境应急监测能力的建设，确保突发环境事件发生时的应急监测能力。</w:t>
      </w:r>
    </w:p>
    <w:p>
      <w:pPr>
        <w:pStyle w:val="4"/>
        <w:spacing w:line="360" w:lineRule="auto"/>
        <w:rPr>
          <w:rFonts w:cs="Times New Roman"/>
        </w:rPr>
      </w:pPr>
      <w:bookmarkStart w:id="107" w:name="_Toc4581"/>
      <w:r>
        <w:rPr>
          <w:rFonts w:cs="Times New Roman"/>
        </w:rPr>
        <w:t>5.3  治理方面措施</w:t>
      </w:r>
      <w:bookmarkEnd w:id="107"/>
    </w:p>
    <w:p>
      <w:pPr>
        <w:ind w:firstLine="480"/>
        <w:rPr>
          <w:rFonts w:cs="Times New Roman"/>
          <w:szCs w:val="24"/>
        </w:rPr>
      </w:pPr>
      <w:r>
        <w:rPr>
          <w:rFonts w:cs="Times New Roman"/>
          <w:szCs w:val="24"/>
        </w:rPr>
        <w:t>桂花水库北侧的道路修建排水沟，长度约600m</w:t>
      </w:r>
      <w:r>
        <w:rPr>
          <w:rFonts w:cs="Times New Roman"/>
          <w:kern w:val="0"/>
          <w:szCs w:val="24"/>
        </w:rPr>
        <w:t>。一级保护区内的耕地应退耕还林，对水库保护区范围内的耕地，通过宣传教育，让老百姓做到科学施肥和合理喷洒农药，一定程度上减轻农药面源污染。对此，需进一步强化科学施肥、喷洒农药及合理回收农用地膜等工作的宣传，同时教会农民科学种植的技术，减轻农业面源污染。同时，在汇水区适当的地方建设人工湿地，增强水体的自净能力，强化对水体的污染治理工作。</w:t>
      </w:r>
      <w:r>
        <w:rPr>
          <w:rFonts w:hint="eastAsia" w:cs="Times New Roman"/>
          <w:szCs w:val="24"/>
        </w:rPr>
        <w:t>桂花水库流域范围</w:t>
      </w:r>
      <w:r>
        <w:rPr>
          <w:rFonts w:cs="Times New Roman"/>
          <w:szCs w:val="24"/>
        </w:rPr>
        <w:t>与云南省富源县后所镇龙泉煤矿</w:t>
      </w:r>
      <w:r>
        <w:rPr>
          <w:rFonts w:hint="eastAsia" w:cs="Times New Roman"/>
          <w:szCs w:val="24"/>
        </w:rPr>
        <w:t>矿界</w:t>
      </w:r>
      <w:r>
        <w:rPr>
          <w:rFonts w:cs="Times New Roman"/>
          <w:szCs w:val="24"/>
        </w:rPr>
        <w:t>勘查项目存在重叠，</w:t>
      </w:r>
      <w:r>
        <w:rPr>
          <w:rFonts w:hint="eastAsia" w:cs="Times New Roman"/>
          <w:szCs w:val="24"/>
        </w:rPr>
        <w:t>矿区开采时，必须做好水库保护工作，实时监测水库水质。</w:t>
      </w:r>
    </w:p>
    <w:p>
      <w:pPr>
        <w:pStyle w:val="4"/>
        <w:spacing w:line="360" w:lineRule="auto"/>
        <w:rPr>
          <w:rFonts w:cs="Times New Roman"/>
        </w:rPr>
      </w:pPr>
      <w:bookmarkStart w:id="108" w:name="_Toc23437"/>
      <w:r>
        <w:rPr>
          <w:rFonts w:cs="Times New Roman"/>
        </w:rPr>
        <w:t>5.4  环境管理措施</w:t>
      </w:r>
      <w:bookmarkEnd w:id="108"/>
    </w:p>
    <w:p>
      <w:pPr>
        <w:pStyle w:val="2"/>
        <w:ind w:firstLine="480"/>
        <w:rPr>
          <w:rFonts w:hint="default" w:ascii="Times New Roman" w:hAnsi="Times New Roman" w:eastAsia="仿宋" w:cs="Times New Roman"/>
        </w:rPr>
      </w:pPr>
      <w:r>
        <w:rPr>
          <w:rFonts w:hint="default" w:ascii="Times New Roman" w:hAnsi="Times New Roman" w:cs="Times New Roman"/>
          <w:sz w:val="24"/>
          <w:szCs w:val="24"/>
        </w:rPr>
        <w:t>桂花水库</w:t>
      </w:r>
      <w:r>
        <w:rPr>
          <w:rFonts w:hint="default" w:ascii="Times New Roman" w:hAnsi="Times New Roman" w:cs="Times New Roman"/>
          <w:kern w:val="0"/>
          <w:sz w:val="24"/>
          <w:szCs w:val="24"/>
        </w:rPr>
        <w:t>隶属于富源县后所镇人民政府管理，是后所镇的集中式饮用水源地。有关部门应</w:t>
      </w:r>
      <w:r>
        <w:rPr>
          <w:rFonts w:hint="default" w:ascii="Times New Roman" w:hAnsi="Times New Roman" w:cs="Times New Roman"/>
          <w:sz w:val="24"/>
          <w:szCs w:val="24"/>
        </w:rPr>
        <w:t>完善饮用水源地保护设施，设立防护网、界桩、保护标志，制定管理条例，建立健全饮用水源安全预警制度，定期发布饮用水源地水质监测信息。加强饮用水源地环境监管，按分级保护要求，坚决取缔饮用水源一级保护区内的排污口，禁止在二级保护区新增排污口，严格控制保护区内经济开发活动，禁止在水源保护区建设有污染物排放和破坏生态的项目。积极调整水源保护区的农业产业结构，推广绿色农业和生态农业，减少化肥农药的施用量和农业废弃物的污染。因地制宜，建立水源地保护标志，防止水源污染。</w:t>
      </w:r>
    </w:p>
    <w:p>
      <w:pPr>
        <w:pStyle w:val="4"/>
        <w:spacing w:line="360" w:lineRule="auto"/>
        <w:rPr>
          <w:rFonts w:cs="Times New Roman"/>
        </w:rPr>
      </w:pPr>
      <w:bookmarkStart w:id="109" w:name="_Toc23840"/>
      <w:r>
        <w:rPr>
          <w:rFonts w:cs="Times New Roman"/>
        </w:rPr>
        <w:t>5.5  制度管理措施</w:t>
      </w:r>
      <w:bookmarkEnd w:id="109"/>
    </w:p>
    <w:p>
      <w:pPr>
        <w:pStyle w:val="2"/>
        <w:ind w:firstLine="480"/>
        <w:rPr>
          <w:rFonts w:hint="default" w:ascii="Times New Roman" w:hAnsi="Times New Roman" w:cs="Times New Roman"/>
          <w:color w:val="000000"/>
          <w:sz w:val="24"/>
          <w:szCs w:val="24"/>
          <w:shd w:val="clear" w:color="auto" w:fill="FFFFFF"/>
        </w:rPr>
      </w:pPr>
      <w:r>
        <w:rPr>
          <w:rFonts w:hint="default" w:ascii="Times New Roman" w:hAnsi="Times New Roman" w:cs="Times New Roman"/>
          <w:sz w:val="24"/>
          <w:szCs w:val="24"/>
        </w:rPr>
        <w:t>桂花水库</w:t>
      </w:r>
      <w:r>
        <w:rPr>
          <w:rFonts w:hint="default" w:ascii="Times New Roman" w:hAnsi="Times New Roman" w:cs="Times New Roman"/>
          <w:color w:val="000000"/>
          <w:sz w:val="24"/>
          <w:szCs w:val="24"/>
          <w:shd w:val="clear" w:color="auto" w:fill="FFFFFF"/>
        </w:rPr>
        <w:t>环境管理方面的制度不完善，环境保护检查基本上按照要求进行，但执法检查制度方面的制度有待加强制定和落实。</w:t>
      </w:r>
    </w:p>
    <w:p>
      <w:pPr>
        <w:pStyle w:val="2"/>
        <w:ind w:firstLine="480"/>
        <w:rPr>
          <w:rFonts w:hint="default" w:ascii="Times New Roman" w:hAnsi="Times New Roman" w:cs="Times New Roman"/>
          <w:sz w:val="24"/>
          <w:szCs w:val="24"/>
        </w:rPr>
      </w:pPr>
      <w:r>
        <w:rPr>
          <w:rFonts w:hint="default" w:ascii="Times New Roman" w:hAnsi="Times New Roman" w:cs="Times New Roman"/>
          <w:color w:val="000000"/>
          <w:sz w:val="24"/>
          <w:szCs w:val="24"/>
          <w:shd w:val="clear" w:color="auto" w:fill="FFFFFF"/>
        </w:rPr>
        <w:t>加强对</w:t>
      </w:r>
      <w:r>
        <w:rPr>
          <w:rFonts w:hint="default" w:ascii="Times New Roman" w:hAnsi="Times New Roman" w:cs="Times New Roman"/>
          <w:sz w:val="24"/>
          <w:szCs w:val="24"/>
        </w:rPr>
        <w:t>桂花水库</w:t>
      </w:r>
      <w:r>
        <w:rPr>
          <w:rFonts w:hint="default" w:ascii="Times New Roman" w:hAnsi="Times New Roman" w:cs="Times New Roman"/>
          <w:color w:val="000000"/>
          <w:sz w:val="24"/>
          <w:szCs w:val="24"/>
          <w:shd w:val="clear" w:color="auto" w:fill="FFFFFF"/>
        </w:rPr>
        <w:t>饮用水源地保护的规范化管理，由曲靖经济技术开发区管委会承担保护好饮用水源地的责任，</w:t>
      </w:r>
      <w:r>
        <w:rPr>
          <w:rFonts w:hint="default" w:ascii="Times New Roman" w:hAnsi="Times New Roman" w:cs="Times New Roman"/>
          <w:kern w:val="0"/>
          <w:sz w:val="24"/>
          <w:szCs w:val="24"/>
        </w:rPr>
        <w:t>所镇人民政府</w:t>
      </w:r>
      <w:r>
        <w:rPr>
          <w:rFonts w:hint="default" w:ascii="Times New Roman" w:hAnsi="Times New Roman" w:cs="Times New Roman"/>
          <w:color w:val="000000"/>
          <w:sz w:val="24"/>
          <w:szCs w:val="24"/>
          <w:shd w:val="clear" w:color="auto" w:fill="FFFFFF"/>
        </w:rPr>
        <w:t>与相关责任部门应认真落实相关管理办法和制度，实施严格的考核制度，实行一票否决制。进一步理顺环境管理具体机构，防治水源地污染，确保水质安全。加大舆论宣传力度，提高群众对饮用水源地保护工作的重视程度，自觉抵制饮用水源地保护区违法行为。</w:t>
      </w:r>
    </w:p>
    <w:p>
      <w:pPr>
        <w:pStyle w:val="4"/>
        <w:spacing w:line="360" w:lineRule="auto"/>
        <w:rPr>
          <w:rFonts w:cs="Times New Roman"/>
        </w:rPr>
      </w:pPr>
      <w:bookmarkStart w:id="110" w:name="_Toc21812"/>
      <w:r>
        <w:rPr>
          <w:rFonts w:cs="Times New Roman"/>
        </w:rPr>
        <w:t>5.6  保护区管理措施</w:t>
      </w:r>
      <w:bookmarkEnd w:id="110"/>
    </w:p>
    <w:p>
      <w:pPr>
        <w:pStyle w:val="2"/>
        <w:ind w:firstLine="480"/>
        <w:rPr>
          <w:rFonts w:hint="default" w:ascii="Times New Roman" w:hAnsi="Times New Roman" w:cs="Times New Roman"/>
          <w:sz w:val="24"/>
          <w:szCs w:val="24"/>
          <w:shd w:val="clear" w:color="auto" w:fill="FFFFFF"/>
        </w:rPr>
      </w:pPr>
      <w:r>
        <w:rPr>
          <w:rFonts w:hint="default" w:ascii="Times New Roman" w:hAnsi="Times New Roman" w:cs="Times New Roman"/>
          <w:color w:val="000000"/>
          <w:sz w:val="24"/>
          <w:szCs w:val="24"/>
          <w:shd w:val="clear" w:color="auto" w:fill="FFFFFF"/>
        </w:rPr>
        <w:t>后所镇人民政府应积极开展水环境精细化管理，依据《曲靖市人民政府关于加强环境监管执法的实施意见》，严格落实水库管理责任制，加大水库、坝塘的管护力度；成立2~3人组成的水库管理小组，定期巡查并打捞库区内垃圾、动植物残体，及时清除库区周边垃圾，降低污染物入库风险。</w:t>
      </w:r>
    </w:p>
    <w:p>
      <w:pPr>
        <w:ind w:firstLine="480"/>
        <w:rPr>
          <w:rFonts w:cs="Times New Roman"/>
          <w:szCs w:val="24"/>
        </w:rPr>
      </w:pPr>
      <w:r>
        <w:rPr>
          <w:rFonts w:cs="Times New Roman"/>
          <w:color w:val="000000"/>
          <w:szCs w:val="24"/>
          <w:shd w:val="clear" w:color="auto" w:fill="FFFFFF"/>
        </w:rPr>
        <w:t>针对后所镇集中式饮用水保护区划定一级和二级保护区范围后，为确保饮水安全，积极有效地处理好区域生态与发展之间的关系，将《</w:t>
      </w:r>
      <w:r>
        <w:rPr>
          <w:rFonts w:cs="Times New Roman"/>
          <w:szCs w:val="24"/>
        </w:rPr>
        <w:t>桂花水库</w:t>
      </w:r>
      <w:r>
        <w:rPr>
          <w:rFonts w:cs="Times New Roman"/>
          <w:color w:val="000000"/>
          <w:szCs w:val="24"/>
          <w:shd w:val="clear" w:color="auto" w:fill="FFFFFF"/>
        </w:rPr>
        <w:t>饮用水水源保护区划分技术报告》作为各级政府部门开发审批的依据，严格落实饮用水源地保护区相关要求。</w:t>
      </w:r>
    </w:p>
    <w:p>
      <w:pPr>
        <w:pStyle w:val="4"/>
        <w:spacing w:line="360" w:lineRule="auto"/>
        <w:rPr>
          <w:rFonts w:cs="Times New Roman"/>
        </w:rPr>
      </w:pPr>
      <w:bookmarkStart w:id="111" w:name="_Toc27965"/>
      <w:r>
        <w:rPr>
          <w:rFonts w:cs="Times New Roman"/>
        </w:rPr>
        <w:t>5.7  保护区建设投资估算</w:t>
      </w:r>
      <w:bookmarkEnd w:id="111"/>
    </w:p>
    <w:p>
      <w:pPr>
        <w:ind w:firstLine="480"/>
        <w:rPr>
          <w:rFonts w:cs="Times New Roman"/>
        </w:rPr>
      </w:pPr>
      <w:r>
        <w:rPr>
          <w:rFonts w:cs="Times New Roman"/>
          <w:color w:val="000000"/>
          <w:szCs w:val="24"/>
          <w:shd w:val="clear" w:color="auto" w:fill="FFFFFF"/>
        </w:rPr>
        <w:t>根据农村饮用水水源地环境保护项目建设与投资指南，进行</w:t>
      </w:r>
      <w:r>
        <w:rPr>
          <w:rFonts w:cs="Times New Roman"/>
        </w:rPr>
        <w:t>保护区建设投资估算</w:t>
      </w:r>
      <w:r>
        <w:rPr>
          <w:rFonts w:hint="eastAsia" w:cs="Times New Roman"/>
        </w:rPr>
        <w:t>。</w:t>
      </w:r>
    </w:p>
    <w:p>
      <w:pPr>
        <w:pStyle w:val="5"/>
        <w:rPr>
          <w:color w:val="000000"/>
          <w:shd w:val="clear" w:color="auto" w:fill="FFFFFF"/>
        </w:rPr>
      </w:pPr>
      <w:bookmarkStart w:id="112" w:name="_Toc64"/>
      <w:r>
        <w:t xml:space="preserve">5.7.1  </w:t>
      </w:r>
      <w:r>
        <w:rPr>
          <w:color w:val="000000"/>
          <w:shd w:val="clear" w:color="auto" w:fill="FFFFFF"/>
        </w:rPr>
        <w:t>保护标志投资</w:t>
      </w:r>
      <w:bookmarkEnd w:id="112"/>
    </w:p>
    <w:p>
      <w:pPr>
        <w:ind w:firstLine="480"/>
        <w:rPr>
          <w:rFonts w:cs="Times New Roman"/>
        </w:rPr>
      </w:pPr>
      <w:r>
        <w:rPr>
          <w:rFonts w:cs="Times New Roman"/>
        </w:rPr>
        <w:t>饮用水水源保护区标志包括界标、交通警示牌和宣传牌。各类饮用水水源地均须设置警示标志。饮用水水源保护区界标一般设立于保护区陆域界线的端点处。随保护区域形状不同，在相应形状顶端设置界标，如：多边形即设置在多边形的顶点；弧形设置在弧顶切点；圆形设置在外切 正方形的端点，并结合水源地护栏围网等隔离防护工程设立界标。根据环境管理需要在人群易见、 活动处（如交叉路口，绿地休闲区等）设立界标。饮用水水源保护区界标的设立应综合考虑饮用 水水源一级保护区、二级保护区和准保护区的界标设立数量和分布进行设置。饮用水水源保护区 交通警示牌设在保护区的道路或航道的进入点及驶出点。饮用水水源保护区道路警示牌设置于一级保护区、二级保护区和准保护区范围内的主干道、高速公路等道路旁。饮用水水源保护区宣传牌的设立位置可根据实际需要在适当的位置设立饮用水源保护区宣传牌。各地方政府可根据实际 需求设计宣传牌上的图形和文字，如介绍当地饮用水水源保护区的地形地貌、保护现状、管理要求等。</w:t>
      </w:r>
    </w:p>
    <w:p>
      <w:pPr>
        <w:ind w:firstLine="422"/>
        <w:jc w:val="center"/>
        <w:rPr>
          <w:rFonts w:cs="Times New Roman"/>
          <w:b/>
          <w:bCs/>
          <w:color w:val="000000"/>
          <w:sz w:val="21"/>
          <w:szCs w:val="21"/>
          <w:shd w:val="clear" w:color="auto" w:fill="FFFFFF"/>
        </w:rPr>
      </w:pPr>
      <w:r>
        <w:rPr>
          <w:rFonts w:cs="Times New Roman"/>
          <w:b/>
          <w:bCs/>
          <w:color w:val="000000"/>
          <w:sz w:val="21"/>
          <w:szCs w:val="21"/>
          <w:shd w:val="clear" w:color="auto" w:fill="FFFFFF"/>
        </w:rPr>
        <w:t>表 5-1  农村饮用水源地保护标志投资参考</w:t>
      </w:r>
    </w:p>
    <w:tbl>
      <w:tblPr>
        <w:tblStyle w:val="24"/>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8"/>
        <w:gridCol w:w="1659"/>
        <w:gridCol w:w="1659"/>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18" w:type="dxa"/>
            <w:tcBorders>
              <w:top w:val="single" w:color="auto" w:sz="4" w:space="0"/>
              <w:left w:val="single" w:color="auto" w:sz="4" w:space="0"/>
              <w:bottom w:val="single" w:color="auto" w:sz="4" w:space="0"/>
              <w:right w:val="single" w:color="auto" w:sz="4" w:space="0"/>
            </w:tcBorders>
          </w:tcPr>
          <w:p>
            <w:pPr>
              <w:pStyle w:val="33"/>
            </w:pPr>
            <w:r>
              <w:rPr>
                <w:rFonts w:hint="eastAsia"/>
              </w:rPr>
              <w:t>建设内容</w:t>
            </w:r>
          </w:p>
        </w:tc>
        <w:tc>
          <w:tcPr>
            <w:tcW w:w="1659" w:type="dxa"/>
            <w:tcBorders>
              <w:top w:val="single" w:color="auto" w:sz="4" w:space="0"/>
              <w:left w:val="single" w:color="auto" w:sz="4" w:space="0"/>
              <w:bottom w:val="single" w:color="auto" w:sz="4" w:space="0"/>
              <w:right w:val="single" w:color="auto" w:sz="4" w:space="0"/>
            </w:tcBorders>
          </w:tcPr>
          <w:p>
            <w:pPr>
              <w:pStyle w:val="33"/>
            </w:pPr>
            <w:r>
              <w:rPr>
                <w:rFonts w:hint="eastAsia"/>
              </w:rPr>
              <w:t>数量</w:t>
            </w:r>
          </w:p>
        </w:tc>
        <w:tc>
          <w:tcPr>
            <w:tcW w:w="1659" w:type="dxa"/>
            <w:tcBorders>
              <w:top w:val="single" w:color="auto" w:sz="4" w:space="0"/>
              <w:left w:val="single" w:color="auto" w:sz="4" w:space="0"/>
              <w:bottom w:val="single" w:color="auto" w:sz="4" w:space="0"/>
              <w:right w:val="single" w:color="auto" w:sz="4" w:space="0"/>
            </w:tcBorders>
          </w:tcPr>
          <w:p>
            <w:pPr>
              <w:pStyle w:val="33"/>
            </w:pPr>
            <w:r>
              <w:rPr>
                <w:rFonts w:hint="eastAsia"/>
              </w:rPr>
              <w:t>单价（元）</w:t>
            </w:r>
          </w:p>
        </w:tc>
        <w:tc>
          <w:tcPr>
            <w:tcW w:w="1660" w:type="dxa"/>
            <w:tcBorders>
              <w:top w:val="single" w:color="auto" w:sz="4" w:space="0"/>
              <w:left w:val="single" w:color="auto" w:sz="4" w:space="0"/>
              <w:bottom w:val="single" w:color="auto" w:sz="4" w:space="0"/>
              <w:right w:val="single" w:color="auto" w:sz="4" w:space="0"/>
            </w:tcBorders>
          </w:tcPr>
          <w:p>
            <w:pPr>
              <w:pStyle w:val="33"/>
            </w:pPr>
            <w:r>
              <w:rPr>
                <w:rFonts w:hint="eastAsia"/>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18" w:type="dxa"/>
            <w:tcBorders>
              <w:top w:val="single" w:color="auto" w:sz="4" w:space="0"/>
              <w:left w:val="single" w:color="auto" w:sz="4" w:space="0"/>
              <w:bottom w:val="single" w:color="auto" w:sz="4" w:space="0"/>
              <w:right w:val="single" w:color="auto" w:sz="4" w:space="0"/>
            </w:tcBorders>
          </w:tcPr>
          <w:p>
            <w:pPr>
              <w:pStyle w:val="33"/>
            </w:pPr>
            <w:r>
              <w:t>1</w:t>
            </w:r>
            <w:r>
              <w:rPr>
                <w:rFonts w:hint="eastAsia"/>
              </w:rPr>
              <w:t>、保护区边界标识牌</w:t>
            </w:r>
          </w:p>
        </w:tc>
        <w:tc>
          <w:tcPr>
            <w:tcW w:w="1659" w:type="dxa"/>
            <w:tcBorders>
              <w:top w:val="single" w:color="auto" w:sz="4" w:space="0"/>
              <w:left w:val="single" w:color="auto" w:sz="4" w:space="0"/>
              <w:bottom w:val="single" w:color="auto" w:sz="4" w:space="0"/>
              <w:right w:val="single" w:color="auto" w:sz="4" w:space="0"/>
            </w:tcBorders>
          </w:tcPr>
          <w:p>
            <w:pPr>
              <w:pStyle w:val="33"/>
            </w:pPr>
            <w:r>
              <w:t>37</w:t>
            </w:r>
          </w:p>
        </w:tc>
        <w:tc>
          <w:tcPr>
            <w:tcW w:w="1659" w:type="dxa"/>
            <w:tcBorders>
              <w:top w:val="single" w:color="auto" w:sz="4" w:space="0"/>
              <w:left w:val="single" w:color="auto" w:sz="4" w:space="0"/>
              <w:bottom w:val="single" w:color="auto" w:sz="4" w:space="0"/>
              <w:right w:val="single" w:color="auto" w:sz="4" w:space="0"/>
            </w:tcBorders>
          </w:tcPr>
          <w:p>
            <w:pPr>
              <w:pStyle w:val="33"/>
            </w:pPr>
            <w:r>
              <w:t>300</w:t>
            </w:r>
          </w:p>
        </w:tc>
        <w:tc>
          <w:tcPr>
            <w:tcW w:w="1660" w:type="dxa"/>
            <w:tcBorders>
              <w:top w:val="single" w:color="auto" w:sz="4" w:space="0"/>
              <w:left w:val="single" w:color="auto" w:sz="4" w:space="0"/>
              <w:bottom w:val="single" w:color="auto" w:sz="4" w:space="0"/>
              <w:right w:val="single" w:color="auto" w:sz="4" w:space="0"/>
            </w:tcBorders>
          </w:tcPr>
          <w:p>
            <w:pPr>
              <w:pStyle w:val="33"/>
            </w:pPr>
            <w:r>
              <w:rPr>
                <w:rFonts w:hint="eastAsia"/>
              </w:rPr>
              <w:t>1</w:t>
            </w:r>
            <w: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18" w:type="dxa"/>
            <w:tcBorders>
              <w:top w:val="single" w:color="auto" w:sz="4" w:space="0"/>
              <w:left w:val="single" w:color="auto" w:sz="4" w:space="0"/>
              <w:bottom w:val="single" w:color="auto" w:sz="4" w:space="0"/>
              <w:right w:val="single" w:color="auto" w:sz="4" w:space="0"/>
            </w:tcBorders>
          </w:tcPr>
          <w:p>
            <w:pPr>
              <w:pStyle w:val="33"/>
            </w:pPr>
            <w:r>
              <w:t>2</w:t>
            </w:r>
            <w:r>
              <w:rPr>
                <w:rFonts w:hint="eastAsia"/>
              </w:rPr>
              <w:t>、交通警示牌</w:t>
            </w:r>
          </w:p>
        </w:tc>
        <w:tc>
          <w:tcPr>
            <w:tcW w:w="1659" w:type="dxa"/>
            <w:tcBorders>
              <w:top w:val="single" w:color="auto" w:sz="4" w:space="0"/>
              <w:left w:val="single" w:color="auto" w:sz="4" w:space="0"/>
              <w:bottom w:val="single" w:color="auto" w:sz="4" w:space="0"/>
              <w:right w:val="single" w:color="auto" w:sz="4" w:space="0"/>
            </w:tcBorders>
          </w:tcPr>
          <w:p>
            <w:pPr>
              <w:pStyle w:val="33"/>
            </w:pPr>
            <w:r>
              <w:t>2</w:t>
            </w:r>
          </w:p>
        </w:tc>
        <w:tc>
          <w:tcPr>
            <w:tcW w:w="1659" w:type="dxa"/>
            <w:tcBorders>
              <w:top w:val="single" w:color="auto" w:sz="4" w:space="0"/>
              <w:left w:val="single" w:color="auto" w:sz="4" w:space="0"/>
              <w:bottom w:val="single" w:color="auto" w:sz="4" w:space="0"/>
              <w:right w:val="single" w:color="auto" w:sz="4" w:space="0"/>
            </w:tcBorders>
          </w:tcPr>
          <w:p>
            <w:pPr>
              <w:pStyle w:val="33"/>
            </w:pPr>
            <w:r>
              <w:t>800</w:t>
            </w:r>
          </w:p>
        </w:tc>
        <w:tc>
          <w:tcPr>
            <w:tcW w:w="1660" w:type="dxa"/>
            <w:tcBorders>
              <w:top w:val="single" w:color="auto" w:sz="4" w:space="0"/>
              <w:left w:val="single" w:color="auto" w:sz="4" w:space="0"/>
              <w:bottom w:val="single" w:color="auto" w:sz="4" w:space="0"/>
              <w:right w:val="single" w:color="auto" w:sz="4" w:space="0"/>
            </w:tcBorders>
          </w:tcPr>
          <w:p>
            <w:pPr>
              <w:pStyle w:val="33"/>
            </w:pPr>
            <w: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18" w:type="dxa"/>
            <w:tcBorders>
              <w:top w:val="single" w:color="auto" w:sz="4" w:space="0"/>
              <w:left w:val="single" w:color="auto" w:sz="4" w:space="0"/>
              <w:bottom w:val="single" w:color="auto" w:sz="4" w:space="0"/>
              <w:right w:val="single" w:color="auto" w:sz="4" w:space="0"/>
            </w:tcBorders>
          </w:tcPr>
          <w:p>
            <w:pPr>
              <w:pStyle w:val="33"/>
            </w:pPr>
            <w:r>
              <w:t>3</w:t>
            </w:r>
            <w:r>
              <w:rPr>
                <w:rFonts w:hint="eastAsia"/>
              </w:rPr>
              <w:t>、宣传牌</w:t>
            </w:r>
          </w:p>
        </w:tc>
        <w:tc>
          <w:tcPr>
            <w:tcW w:w="1659" w:type="dxa"/>
            <w:tcBorders>
              <w:top w:val="single" w:color="auto" w:sz="4" w:space="0"/>
              <w:left w:val="single" w:color="auto" w:sz="4" w:space="0"/>
              <w:bottom w:val="single" w:color="auto" w:sz="4" w:space="0"/>
              <w:right w:val="single" w:color="auto" w:sz="4" w:space="0"/>
            </w:tcBorders>
          </w:tcPr>
          <w:p>
            <w:pPr>
              <w:pStyle w:val="33"/>
            </w:pPr>
            <w:r>
              <w:t>2</w:t>
            </w:r>
          </w:p>
        </w:tc>
        <w:tc>
          <w:tcPr>
            <w:tcW w:w="1659" w:type="dxa"/>
            <w:tcBorders>
              <w:top w:val="single" w:color="auto" w:sz="4" w:space="0"/>
              <w:left w:val="single" w:color="auto" w:sz="4" w:space="0"/>
              <w:bottom w:val="single" w:color="auto" w:sz="4" w:space="0"/>
              <w:right w:val="single" w:color="auto" w:sz="4" w:space="0"/>
            </w:tcBorders>
          </w:tcPr>
          <w:p>
            <w:pPr>
              <w:pStyle w:val="33"/>
            </w:pPr>
            <w:r>
              <w:t>800</w:t>
            </w:r>
          </w:p>
        </w:tc>
        <w:tc>
          <w:tcPr>
            <w:tcW w:w="1660" w:type="dxa"/>
            <w:tcBorders>
              <w:top w:val="single" w:color="auto" w:sz="4" w:space="0"/>
              <w:left w:val="single" w:color="auto" w:sz="4" w:space="0"/>
              <w:bottom w:val="single" w:color="auto" w:sz="4" w:space="0"/>
              <w:right w:val="single" w:color="auto" w:sz="4" w:space="0"/>
            </w:tcBorders>
          </w:tcPr>
          <w:p>
            <w:pPr>
              <w:pStyle w:val="33"/>
            </w:pPr>
            <w: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18" w:type="dxa"/>
            <w:tcBorders>
              <w:top w:val="single" w:color="auto" w:sz="4" w:space="0"/>
              <w:left w:val="single" w:color="auto" w:sz="4" w:space="0"/>
              <w:bottom w:val="single" w:color="auto" w:sz="4" w:space="0"/>
              <w:right w:val="single" w:color="auto" w:sz="4" w:space="0"/>
            </w:tcBorders>
          </w:tcPr>
          <w:p>
            <w:pPr>
              <w:pStyle w:val="33"/>
            </w:pPr>
            <w:r>
              <w:rPr>
                <w:rFonts w:hint="eastAsia"/>
              </w:rPr>
              <w:t>合计</w:t>
            </w:r>
          </w:p>
        </w:tc>
        <w:tc>
          <w:tcPr>
            <w:tcW w:w="1659" w:type="dxa"/>
            <w:tcBorders>
              <w:top w:val="single" w:color="auto" w:sz="4" w:space="0"/>
              <w:left w:val="single" w:color="auto" w:sz="4" w:space="0"/>
              <w:bottom w:val="single" w:color="auto" w:sz="4" w:space="0"/>
              <w:right w:val="single" w:color="auto" w:sz="4" w:space="0"/>
              <w:tl2br w:val="single" w:color="auto" w:sz="4" w:space="0"/>
            </w:tcBorders>
          </w:tcPr>
          <w:p>
            <w:pPr>
              <w:pStyle w:val="33"/>
            </w:pPr>
          </w:p>
        </w:tc>
        <w:tc>
          <w:tcPr>
            <w:tcW w:w="1659" w:type="dxa"/>
            <w:tcBorders>
              <w:top w:val="single" w:color="auto" w:sz="4" w:space="0"/>
              <w:left w:val="single" w:color="auto" w:sz="4" w:space="0"/>
              <w:bottom w:val="single" w:color="auto" w:sz="4" w:space="0"/>
              <w:right w:val="single" w:color="auto" w:sz="4" w:space="0"/>
              <w:tl2br w:val="single" w:color="auto" w:sz="4" w:space="0"/>
            </w:tcBorders>
          </w:tcPr>
          <w:p>
            <w:pPr>
              <w:pStyle w:val="33"/>
            </w:pPr>
          </w:p>
        </w:tc>
        <w:tc>
          <w:tcPr>
            <w:tcW w:w="1660" w:type="dxa"/>
            <w:tcBorders>
              <w:top w:val="single" w:color="auto" w:sz="4" w:space="0"/>
              <w:left w:val="single" w:color="auto" w:sz="4" w:space="0"/>
              <w:bottom w:val="single" w:color="auto" w:sz="4" w:space="0"/>
              <w:right w:val="single" w:color="auto" w:sz="4" w:space="0"/>
            </w:tcBorders>
          </w:tcPr>
          <w:p>
            <w:pPr>
              <w:pStyle w:val="33"/>
            </w:pPr>
            <w:r>
              <w:t>14300</w:t>
            </w:r>
          </w:p>
        </w:tc>
      </w:tr>
    </w:tbl>
    <w:p>
      <w:pPr>
        <w:pStyle w:val="2"/>
        <w:ind w:firstLine="0" w:firstLineChars="0"/>
        <w:rPr>
          <w:rFonts w:hint="default"/>
        </w:rPr>
      </w:pPr>
    </w:p>
    <w:p>
      <w:pPr>
        <w:pStyle w:val="5"/>
      </w:pPr>
      <w:bookmarkStart w:id="113" w:name="_Toc25103"/>
      <w:r>
        <w:t xml:space="preserve">5.7.2  </w:t>
      </w:r>
      <w:r>
        <w:rPr>
          <w:rFonts w:hint="eastAsia"/>
          <w:shd w:val="clear" w:color="auto" w:fill="FFFFFF"/>
        </w:rPr>
        <w:t>保护隔离防护投资</w:t>
      </w:r>
      <w:bookmarkEnd w:id="113"/>
    </w:p>
    <w:p>
      <w:pPr>
        <w:ind w:firstLine="480"/>
        <w:rPr>
          <w:rFonts w:cs="Times New Roman"/>
          <w:color w:val="000000"/>
          <w:szCs w:val="24"/>
          <w:shd w:val="clear" w:color="auto" w:fill="FFFFFF"/>
        </w:rPr>
      </w:pPr>
      <w:r>
        <w:rPr>
          <w:rFonts w:cs="Times New Roman"/>
          <w:color w:val="000000"/>
          <w:szCs w:val="24"/>
          <w:shd w:val="clear" w:color="auto" w:fill="FFFFFF"/>
        </w:rPr>
        <w:t>为防止人类活动造成不利影响，按照划分的保护区和保护范围，依据水源地的自然地理、环境特征和环境管理需要，在人群活动较为频繁的一级保护区</w:t>
      </w:r>
      <w:r>
        <w:rPr>
          <w:rFonts w:hint="eastAsia" w:cs="Times New Roman"/>
          <w:color w:val="000000"/>
          <w:szCs w:val="24"/>
          <w:shd w:val="clear" w:color="auto" w:fill="FFFFFF"/>
        </w:rPr>
        <w:t>水</w:t>
      </w:r>
      <w:r>
        <w:rPr>
          <w:rFonts w:cs="Times New Roman"/>
          <w:color w:val="000000"/>
          <w:szCs w:val="24"/>
          <w:shd w:val="clear" w:color="auto" w:fill="FFFFFF"/>
        </w:rPr>
        <w:t>域外围边界应设置隔离防护设施。该设施包括物理防护和生物防护，前者包括护栏、隔离网、隔离墙；鉴于隔离墙对生态环境的不利影响，推荐采用护栏、隔离网。</w:t>
      </w:r>
    </w:p>
    <w:p>
      <w:pPr>
        <w:ind w:firstLine="480"/>
        <w:rPr>
          <w:rFonts w:cs="Times New Roman"/>
          <w:color w:val="000000"/>
          <w:szCs w:val="24"/>
          <w:shd w:val="clear" w:color="auto" w:fill="FFFFFF"/>
        </w:rPr>
      </w:pPr>
      <w:r>
        <w:rPr>
          <w:rFonts w:cs="Times New Roman"/>
          <w:color w:val="000000"/>
          <w:szCs w:val="24"/>
          <w:shd w:val="clear" w:color="auto" w:fill="FFFFFF"/>
        </w:rPr>
        <w:t xml:space="preserve">物理隔离防护设施应遵循耐久、经济的原则。目前应用较多的护栏和隔离网，是电焊网片护栏和勾花隔离网。参照高速公路隔离网设计，饮用水水源地的防护栏规格为高度 1.7 m，顶部 0.2 m 向内倾斜。   </w:t>
      </w:r>
    </w:p>
    <w:p>
      <w:pPr>
        <w:pStyle w:val="37"/>
        <w:spacing w:before="156" w:after="156"/>
      </w:pPr>
      <w:r>
        <w:rPr>
          <w:shd w:val="clear" w:color="auto" w:fill="FFFFFF"/>
        </w:rPr>
        <w:t>表 5-2  农村饮用水源地隔离防护投资参考</w:t>
      </w:r>
    </w:p>
    <w:tbl>
      <w:tblPr>
        <w:tblStyle w:val="24"/>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8"/>
        <w:gridCol w:w="1659"/>
        <w:gridCol w:w="1659"/>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18" w:type="dxa"/>
            <w:tcBorders>
              <w:top w:val="single" w:color="auto" w:sz="4" w:space="0"/>
              <w:left w:val="single" w:color="auto" w:sz="4" w:space="0"/>
              <w:bottom w:val="single" w:color="auto" w:sz="4" w:space="0"/>
              <w:right w:val="single" w:color="auto" w:sz="4" w:space="0"/>
            </w:tcBorders>
          </w:tcPr>
          <w:p>
            <w:pPr>
              <w:pStyle w:val="33"/>
              <w:ind w:firstLine="360"/>
            </w:pPr>
            <w:r>
              <w:rPr>
                <w:rFonts w:hint="eastAsia"/>
              </w:rPr>
              <w:t>建设内容</w:t>
            </w:r>
          </w:p>
        </w:tc>
        <w:tc>
          <w:tcPr>
            <w:tcW w:w="1659" w:type="dxa"/>
            <w:tcBorders>
              <w:top w:val="single" w:color="auto" w:sz="4" w:space="0"/>
              <w:left w:val="single" w:color="auto" w:sz="4" w:space="0"/>
              <w:bottom w:val="single" w:color="auto" w:sz="4" w:space="0"/>
              <w:right w:val="single" w:color="auto" w:sz="4" w:space="0"/>
            </w:tcBorders>
          </w:tcPr>
          <w:p>
            <w:pPr>
              <w:pStyle w:val="33"/>
              <w:ind w:firstLine="360"/>
            </w:pPr>
            <w:r>
              <w:rPr>
                <w:rFonts w:hint="eastAsia"/>
              </w:rPr>
              <w:t>数量</w:t>
            </w:r>
          </w:p>
        </w:tc>
        <w:tc>
          <w:tcPr>
            <w:tcW w:w="1659" w:type="dxa"/>
            <w:tcBorders>
              <w:top w:val="single" w:color="auto" w:sz="4" w:space="0"/>
              <w:left w:val="single" w:color="auto" w:sz="4" w:space="0"/>
              <w:bottom w:val="single" w:color="auto" w:sz="4" w:space="0"/>
              <w:right w:val="single" w:color="auto" w:sz="4" w:space="0"/>
            </w:tcBorders>
          </w:tcPr>
          <w:p>
            <w:pPr>
              <w:pStyle w:val="33"/>
              <w:ind w:firstLine="360"/>
            </w:pPr>
            <w:r>
              <w:rPr>
                <w:rFonts w:hint="eastAsia"/>
              </w:rPr>
              <w:t>单价（元）</w:t>
            </w:r>
          </w:p>
        </w:tc>
        <w:tc>
          <w:tcPr>
            <w:tcW w:w="1660" w:type="dxa"/>
            <w:tcBorders>
              <w:top w:val="single" w:color="auto" w:sz="4" w:space="0"/>
              <w:left w:val="single" w:color="auto" w:sz="4" w:space="0"/>
              <w:bottom w:val="single" w:color="auto" w:sz="4" w:space="0"/>
              <w:right w:val="single" w:color="auto" w:sz="4" w:space="0"/>
            </w:tcBorders>
          </w:tcPr>
          <w:p>
            <w:pPr>
              <w:pStyle w:val="33"/>
              <w:ind w:firstLine="360"/>
            </w:pPr>
            <w:r>
              <w:rPr>
                <w:rFonts w:hint="eastAsia"/>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18" w:type="dxa"/>
            <w:tcBorders>
              <w:top w:val="single" w:color="auto" w:sz="4" w:space="0"/>
              <w:left w:val="single" w:color="auto" w:sz="4" w:space="0"/>
              <w:bottom w:val="single" w:color="auto" w:sz="4" w:space="0"/>
              <w:right w:val="single" w:color="auto" w:sz="4" w:space="0"/>
            </w:tcBorders>
          </w:tcPr>
          <w:p>
            <w:pPr>
              <w:pStyle w:val="33"/>
              <w:ind w:firstLine="360"/>
            </w:pPr>
            <w:r>
              <w:t>1</w:t>
            </w:r>
            <w:r>
              <w:rPr>
                <w:rFonts w:hint="eastAsia"/>
              </w:rPr>
              <w:t>、铁网防护栏</w:t>
            </w:r>
          </w:p>
        </w:tc>
        <w:tc>
          <w:tcPr>
            <w:tcW w:w="1659" w:type="dxa"/>
            <w:tcBorders>
              <w:top w:val="single" w:color="auto" w:sz="4" w:space="0"/>
              <w:left w:val="single" w:color="auto" w:sz="4" w:space="0"/>
              <w:bottom w:val="single" w:color="auto" w:sz="4" w:space="0"/>
              <w:right w:val="single" w:color="auto" w:sz="4" w:space="0"/>
            </w:tcBorders>
          </w:tcPr>
          <w:p>
            <w:pPr>
              <w:pStyle w:val="33"/>
              <w:ind w:firstLine="360"/>
            </w:pPr>
            <w:r>
              <w:rPr>
                <w:rFonts w:hint="eastAsia"/>
              </w:rPr>
              <w:t>1</w:t>
            </w:r>
            <w:r>
              <w:t>00</w:t>
            </w:r>
          </w:p>
        </w:tc>
        <w:tc>
          <w:tcPr>
            <w:tcW w:w="1659" w:type="dxa"/>
            <w:tcBorders>
              <w:top w:val="single" w:color="auto" w:sz="4" w:space="0"/>
              <w:left w:val="single" w:color="auto" w:sz="4" w:space="0"/>
              <w:bottom w:val="single" w:color="auto" w:sz="4" w:space="0"/>
              <w:right w:val="single" w:color="auto" w:sz="4" w:space="0"/>
            </w:tcBorders>
          </w:tcPr>
          <w:p>
            <w:pPr>
              <w:pStyle w:val="33"/>
              <w:ind w:firstLine="360"/>
            </w:pPr>
            <w:r>
              <w:t>180</w:t>
            </w:r>
          </w:p>
        </w:tc>
        <w:tc>
          <w:tcPr>
            <w:tcW w:w="1660" w:type="dxa"/>
            <w:tcBorders>
              <w:top w:val="single" w:color="auto" w:sz="4" w:space="0"/>
              <w:left w:val="single" w:color="auto" w:sz="4" w:space="0"/>
              <w:bottom w:val="single" w:color="auto" w:sz="4" w:space="0"/>
              <w:right w:val="single" w:color="auto" w:sz="4" w:space="0"/>
            </w:tcBorders>
          </w:tcPr>
          <w:p>
            <w:pPr>
              <w:pStyle w:val="33"/>
              <w:ind w:firstLine="360"/>
            </w:pPr>
            <w:r>
              <w:t>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18" w:type="dxa"/>
            <w:tcBorders>
              <w:top w:val="single" w:color="auto" w:sz="4" w:space="0"/>
              <w:left w:val="single" w:color="auto" w:sz="4" w:space="0"/>
              <w:bottom w:val="single" w:color="auto" w:sz="4" w:space="0"/>
              <w:right w:val="single" w:color="auto" w:sz="4" w:space="0"/>
            </w:tcBorders>
          </w:tcPr>
          <w:p>
            <w:pPr>
              <w:pStyle w:val="33"/>
              <w:ind w:firstLine="360"/>
            </w:pPr>
            <w:r>
              <w:t>2</w:t>
            </w:r>
            <w:r>
              <w:rPr>
                <w:rFonts w:hint="eastAsia"/>
              </w:rPr>
              <w:t>、运行维护费</w:t>
            </w:r>
          </w:p>
        </w:tc>
        <w:tc>
          <w:tcPr>
            <w:tcW w:w="1659" w:type="dxa"/>
            <w:tcBorders>
              <w:top w:val="single" w:color="auto" w:sz="4" w:space="0"/>
              <w:left w:val="single" w:color="auto" w:sz="4" w:space="0"/>
              <w:bottom w:val="single" w:color="auto" w:sz="4" w:space="0"/>
              <w:right w:val="single" w:color="auto" w:sz="4" w:space="0"/>
            </w:tcBorders>
          </w:tcPr>
          <w:p>
            <w:pPr>
              <w:pStyle w:val="33"/>
              <w:ind w:firstLine="360"/>
            </w:pPr>
            <w:r>
              <w:rPr>
                <w:rFonts w:hint="eastAsia"/>
              </w:rPr>
              <w:t>1</w:t>
            </w:r>
            <w:r>
              <w:t>00</w:t>
            </w:r>
          </w:p>
        </w:tc>
        <w:tc>
          <w:tcPr>
            <w:tcW w:w="1659" w:type="dxa"/>
            <w:tcBorders>
              <w:top w:val="single" w:color="auto" w:sz="4" w:space="0"/>
              <w:left w:val="single" w:color="auto" w:sz="4" w:space="0"/>
              <w:bottom w:val="single" w:color="auto" w:sz="4" w:space="0"/>
              <w:right w:val="single" w:color="auto" w:sz="4" w:space="0"/>
            </w:tcBorders>
          </w:tcPr>
          <w:p>
            <w:pPr>
              <w:pStyle w:val="33"/>
              <w:ind w:firstLine="360"/>
            </w:pPr>
            <w:r>
              <w:t>5</w:t>
            </w:r>
          </w:p>
        </w:tc>
        <w:tc>
          <w:tcPr>
            <w:tcW w:w="1660" w:type="dxa"/>
            <w:tcBorders>
              <w:top w:val="single" w:color="auto" w:sz="4" w:space="0"/>
              <w:left w:val="single" w:color="auto" w:sz="4" w:space="0"/>
              <w:bottom w:val="single" w:color="auto" w:sz="4" w:space="0"/>
              <w:right w:val="single" w:color="auto" w:sz="4" w:space="0"/>
            </w:tcBorders>
          </w:tcPr>
          <w:p>
            <w:pPr>
              <w:pStyle w:val="33"/>
              <w:ind w:firstLine="360"/>
            </w:pPr>
            <w: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18" w:type="dxa"/>
            <w:tcBorders>
              <w:top w:val="single" w:color="auto" w:sz="4" w:space="0"/>
              <w:left w:val="single" w:color="auto" w:sz="4" w:space="0"/>
              <w:bottom w:val="single" w:color="auto" w:sz="4" w:space="0"/>
              <w:right w:val="single" w:color="auto" w:sz="4" w:space="0"/>
            </w:tcBorders>
          </w:tcPr>
          <w:p>
            <w:pPr>
              <w:pStyle w:val="33"/>
              <w:ind w:firstLine="360"/>
            </w:pPr>
            <w:r>
              <w:rPr>
                <w:rFonts w:hint="eastAsia"/>
              </w:rPr>
              <w:t>合计</w:t>
            </w:r>
          </w:p>
        </w:tc>
        <w:tc>
          <w:tcPr>
            <w:tcW w:w="1659" w:type="dxa"/>
            <w:tcBorders>
              <w:top w:val="single" w:color="auto" w:sz="4" w:space="0"/>
              <w:left w:val="single" w:color="auto" w:sz="4" w:space="0"/>
              <w:bottom w:val="single" w:color="auto" w:sz="4" w:space="0"/>
              <w:right w:val="single" w:color="auto" w:sz="4" w:space="0"/>
              <w:tl2br w:val="single" w:color="auto" w:sz="4" w:space="0"/>
            </w:tcBorders>
          </w:tcPr>
          <w:p>
            <w:pPr>
              <w:pStyle w:val="33"/>
              <w:ind w:firstLine="360"/>
            </w:pPr>
          </w:p>
        </w:tc>
        <w:tc>
          <w:tcPr>
            <w:tcW w:w="1659" w:type="dxa"/>
            <w:tcBorders>
              <w:top w:val="single" w:color="auto" w:sz="4" w:space="0"/>
              <w:left w:val="single" w:color="auto" w:sz="4" w:space="0"/>
              <w:bottom w:val="single" w:color="auto" w:sz="4" w:space="0"/>
              <w:right w:val="single" w:color="auto" w:sz="4" w:space="0"/>
              <w:tl2br w:val="single" w:color="auto" w:sz="4" w:space="0"/>
            </w:tcBorders>
          </w:tcPr>
          <w:p>
            <w:pPr>
              <w:pStyle w:val="33"/>
              <w:ind w:firstLine="360"/>
            </w:pPr>
          </w:p>
        </w:tc>
        <w:tc>
          <w:tcPr>
            <w:tcW w:w="1660" w:type="dxa"/>
            <w:tcBorders>
              <w:top w:val="single" w:color="auto" w:sz="4" w:space="0"/>
              <w:left w:val="single" w:color="auto" w:sz="4" w:space="0"/>
              <w:bottom w:val="single" w:color="auto" w:sz="4" w:space="0"/>
              <w:right w:val="single" w:color="auto" w:sz="4" w:space="0"/>
            </w:tcBorders>
          </w:tcPr>
          <w:p>
            <w:pPr>
              <w:pStyle w:val="33"/>
              <w:ind w:firstLine="360"/>
            </w:pPr>
            <w:r>
              <w:rPr>
                <w:rFonts w:hint="eastAsia"/>
              </w:rPr>
              <w:t>1</w:t>
            </w:r>
            <w:r>
              <w:t>8500</w:t>
            </w:r>
          </w:p>
        </w:tc>
      </w:tr>
    </w:tbl>
    <w:p>
      <w:pPr>
        <w:ind w:firstLine="0" w:firstLineChars="0"/>
      </w:pPr>
    </w:p>
    <w:p>
      <w:pPr>
        <w:pStyle w:val="5"/>
        <w:rPr>
          <w:color w:val="000000"/>
          <w:shd w:val="clear" w:color="auto" w:fill="FFFFFF"/>
        </w:rPr>
      </w:pPr>
      <w:bookmarkStart w:id="114" w:name="_Toc10123"/>
      <w:r>
        <w:t>5.7.2  耕地恢复成林地</w:t>
      </w:r>
      <w:r>
        <w:rPr>
          <w:color w:val="000000"/>
          <w:shd w:val="clear" w:color="auto" w:fill="FFFFFF"/>
        </w:rPr>
        <w:t>投资</w:t>
      </w:r>
      <w:bookmarkEnd w:id="114"/>
    </w:p>
    <w:p>
      <w:pPr>
        <w:ind w:firstLine="480"/>
        <w:rPr>
          <w:rFonts w:cs="Times New Roman"/>
        </w:rPr>
      </w:pPr>
      <w:r>
        <w:rPr>
          <w:rFonts w:cs="Times New Roman"/>
        </w:rPr>
        <w:t>一级保护区内基本农田面积为0.8公顷，与水库距离近，管理单位应考虑退耕育林以涵养水源。</w:t>
      </w:r>
    </w:p>
    <w:p>
      <w:pPr>
        <w:pStyle w:val="37"/>
        <w:spacing w:before="156" w:after="156"/>
        <w:rPr>
          <w:shd w:val="clear" w:color="auto" w:fill="FFFFFF"/>
        </w:rPr>
      </w:pPr>
      <w:r>
        <w:rPr>
          <w:shd w:val="clear" w:color="auto" w:fill="FFFFFF"/>
        </w:rPr>
        <w:t xml:space="preserve">表 5-3  </w:t>
      </w:r>
      <w:r>
        <w:t>耕地恢复成林地</w:t>
      </w:r>
      <w:r>
        <w:rPr>
          <w:shd w:val="clear" w:color="auto" w:fill="FFFFFF"/>
        </w:rPr>
        <w:t>投资参考</w:t>
      </w:r>
    </w:p>
    <w:tbl>
      <w:tblPr>
        <w:tblStyle w:val="24"/>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8"/>
        <w:gridCol w:w="1659"/>
        <w:gridCol w:w="1659"/>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18" w:type="dxa"/>
            <w:tcBorders>
              <w:top w:val="single" w:color="auto" w:sz="4" w:space="0"/>
              <w:left w:val="single" w:color="auto" w:sz="4" w:space="0"/>
              <w:bottom w:val="single" w:color="auto" w:sz="4" w:space="0"/>
              <w:right w:val="single" w:color="auto" w:sz="4" w:space="0"/>
            </w:tcBorders>
          </w:tcPr>
          <w:p>
            <w:pPr>
              <w:pStyle w:val="33"/>
              <w:ind w:firstLine="360"/>
            </w:pPr>
            <w:r>
              <w:rPr>
                <w:rFonts w:hint="eastAsia"/>
              </w:rPr>
              <w:t>建设内容</w:t>
            </w:r>
          </w:p>
        </w:tc>
        <w:tc>
          <w:tcPr>
            <w:tcW w:w="1659" w:type="dxa"/>
            <w:tcBorders>
              <w:top w:val="single" w:color="auto" w:sz="4" w:space="0"/>
              <w:left w:val="single" w:color="auto" w:sz="4" w:space="0"/>
              <w:bottom w:val="single" w:color="auto" w:sz="4" w:space="0"/>
              <w:right w:val="single" w:color="auto" w:sz="4" w:space="0"/>
            </w:tcBorders>
          </w:tcPr>
          <w:p>
            <w:pPr>
              <w:pStyle w:val="33"/>
              <w:ind w:firstLine="360"/>
            </w:pPr>
            <w:r>
              <w:rPr>
                <w:rFonts w:hint="eastAsia"/>
              </w:rPr>
              <w:t>数量</w:t>
            </w:r>
          </w:p>
        </w:tc>
        <w:tc>
          <w:tcPr>
            <w:tcW w:w="1659" w:type="dxa"/>
            <w:tcBorders>
              <w:top w:val="single" w:color="auto" w:sz="4" w:space="0"/>
              <w:left w:val="single" w:color="auto" w:sz="4" w:space="0"/>
              <w:bottom w:val="single" w:color="auto" w:sz="4" w:space="0"/>
              <w:right w:val="single" w:color="auto" w:sz="4" w:space="0"/>
            </w:tcBorders>
          </w:tcPr>
          <w:p>
            <w:pPr>
              <w:pStyle w:val="33"/>
              <w:ind w:firstLine="360"/>
            </w:pPr>
            <w:r>
              <w:rPr>
                <w:rFonts w:hint="eastAsia"/>
              </w:rPr>
              <w:t>单价（元）</w:t>
            </w:r>
          </w:p>
        </w:tc>
        <w:tc>
          <w:tcPr>
            <w:tcW w:w="1660" w:type="dxa"/>
            <w:tcBorders>
              <w:top w:val="single" w:color="auto" w:sz="4" w:space="0"/>
              <w:left w:val="single" w:color="auto" w:sz="4" w:space="0"/>
              <w:bottom w:val="single" w:color="auto" w:sz="4" w:space="0"/>
              <w:right w:val="single" w:color="auto" w:sz="4" w:space="0"/>
            </w:tcBorders>
          </w:tcPr>
          <w:p>
            <w:pPr>
              <w:pStyle w:val="33"/>
              <w:ind w:firstLine="360"/>
            </w:pPr>
            <w:r>
              <w:rPr>
                <w:rFonts w:hint="eastAsia"/>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18" w:type="dxa"/>
            <w:tcBorders>
              <w:top w:val="single" w:color="auto" w:sz="4" w:space="0"/>
              <w:left w:val="single" w:color="auto" w:sz="4" w:space="0"/>
              <w:bottom w:val="single" w:color="auto" w:sz="4" w:space="0"/>
              <w:right w:val="single" w:color="auto" w:sz="4" w:space="0"/>
            </w:tcBorders>
          </w:tcPr>
          <w:p>
            <w:pPr>
              <w:pStyle w:val="33"/>
              <w:ind w:firstLine="360"/>
            </w:pPr>
            <w:r>
              <w:t>1</w:t>
            </w:r>
            <w:r>
              <w:rPr>
                <w:rFonts w:hint="eastAsia"/>
              </w:rPr>
              <w:t>、树苗</w:t>
            </w:r>
          </w:p>
        </w:tc>
        <w:tc>
          <w:tcPr>
            <w:tcW w:w="1659" w:type="dxa"/>
            <w:tcBorders>
              <w:top w:val="single" w:color="auto" w:sz="4" w:space="0"/>
              <w:left w:val="single" w:color="auto" w:sz="4" w:space="0"/>
              <w:bottom w:val="single" w:color="auto" w:sz="4" w:space="0"/>
              <w:right w:val="single" w:color="auto" w:sz="4" w:space="0"/>
            </w:tcBorders>
          </w:tcPr>
          <w:p>
            <w:pPr>
              <w:pStyle w:val="33"/>
              <w:ind w:firstLine="360"/>
            </w:pPr>
            <w:r>
              <w:t>1200</w:t>
            </w:r>
          </w:p>
        </w:tc>
        <w:tc>
          <w:tcPr>
            <w:tcW w:w="1659" w:type="dxa"/>
            <w:tcBorders>
              <w:top w:val="single" w:color="auto" w:sz="4" w:space="0"/>
              <w:left w:val="single" w:color="auto" w:sz="4" w:space="0"/>
              <w:bottom w:val="single" w:color="auto" w:sz="4" w:space="0"/>
              <w:right w:val="single" w:color="auto" w:sz="4" w:space="0"/>
            </w:tcBorders>
          </w:tcPr>
          <w:p>
            <w:pPr>
              <w:pStyle w:val="33"/>
              <w:ind w:firstLine="360"/>
            </w:pPr>
            <w:r>
              <w:rPr>
                <w:rFonts w:hint="eastAsia"/>
              </w:rPr>
              <w:t>1</w:t>
            </w:r>
            <w:r>
              <w:t>0</w:t>
            </w:r>
          </w:p>
        </w:tc>
        <w:tc>
          <w:tcPr>
            <w:tcW w:w="1660" w:type="dxa"/>
            <w:tcBorders>
              <w:top w:val="single" w:color="auto" w:sz="4" w:space="0"/>
              <w:left w:val="single" w:color="auto" w:sz="4" w:space="0"/>
              <w:bottom w:val="single" w:color="auto" w:sz="4" w:space="0"/>
              <w:right w:val="single" w:color="auto" w:sz="4" w:space="0"/>
            </w:tcBorders>
          </w:tcPr>
          <w:p>
            <w:pPr>
              <w:pStyle w:val="33"/>
              <w:ind w:firstLine="360"/>
            </w:pPr>
            <w:r>
              <w:t>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18" w:type="dxa"/>
            <w:tcBorders>
              <w:top w:val="single" w:color="auto" w:sz="4" w:space="0"/>
              <w:left w:val="single" w:color="auto" w:sz="4" w:space="0"/>
              <w:bottom w:val="single" w:color="auto" w:sz="4" w:space="0"/>
              <w:right w:val="single" w:color="auto" w:sz="4" w:space="0"/>
            </w:tcBorders>
          </w:tcPr>
          <w:p>
            <w:pPr>
              <w:pStyle w:val="33"/>
              <w:ind w:firstLine="360"/>
            </w:pPr>
            <w:r>
              <w:rPr>
                <w:rFonts w:hint="eastAsia"/>
              </w:rPr>
              <w:t>合计</w:t>
            </w:r>
          </w:p>
        </w:tc>
        <w:tc>
          <w:tcPr>
            <w:tcW w:w="1659" w:type="dxa"/>
            <w:tcBorders>
              <w:top w:val="single" w:color="auto" w:sz="4" w:space="0"/>
              <w:left w:val="single" w:color="auto" w:sz="4" w:space="0"/>
              <w:bottom w:val="single" w:color="auto" w:sz="4" w:space="0"/>
              <w:right w:val="single" w:color="auto" w:sz="4" w:space="0"/>
              <w:tl2br w:val="single" w:color="auto" w:sz="4" w:space="0"/>
            </w:tcBorders>
          </w:tcPr>
          <w:p>
            <w:pPr>
              <w:pStyle w:val="33"/>
              <w:ind w:firstLine="360"/>
            </w:pPr>
          </w:p>
        </w:tc>
        <w:tc>
          <w:tcPr>
            <w:tcW w:w="1659" w:type="dxa"/>
            <w:tcBorders>
              <w:top w:val="single" w:color="auto" w:sz="4" w:space="0"/>
              <w:left w:val="single" w:color="auto" w:sz="4" w:space="0"/>
              <w:bottom w:val="single" w:color="auto" w:sz="4" w:space="0"/>
              <w:right w:val="single" w:color="auto" w:sz="4" w:space="0"/>
              <w:tl2br w:val="single" w:color="auto" w:sz="4" w:space="0"/>
            </w:tcBorders>
          </w:tcPr>
          <w:p>
            <w:pPr>
              <w:pStyle w:val="33"/>
              <w:ind w:firstLine="360"/>
            </w:pPr>
          </w:p>
        </w:tc>
        <w:tc>
          <w:tcPr>
            <w:tcW w:w="1660" w:type="dxa"/>
            <w:tcBorders>
              <w:top w:val="single" w:color="auto" w:sz="4" w:space="0"/>
              <w:left w:val="single" w:color="auto" w:sz="4" w:space="0"/>
              <w:bottom w:val="single" w:color="auto" w:sz="4" w:space="0"/>
              <w:right w:val="single" w:color="auto" w:sz="4" w:space="0"/>
            </w:tcBorders>
          </w:tcPr>
          <w:p>
            <w:pPr>
              <w:pStyle w:val="33"/>
              <w:ind w:firstLine="360"/>
            </w:pPr>
            <w:r>
              <w:t>12000</w:t>
            </w:r>
          </w:p>
        </w:tc>
      </w:tr>
    </w:tbl>
    <w:p>
      <w:pPr>
        <w:pStyle w:val="2"/>
        <w:ind w:firstLine="0" w:firstLineChars="0"/>
        <w:rPr>
          <w:rFonts w:hint="default"/>
        </w:rPr>
      </w:pPr>
    </w:p>
    <w:p>
      <w:pPr>
        <w:pStyle w:val="5"/>
      </w:pPr>
      <w:bookmarkStart w:id="115" w:name="_Toc9231"/>
      <w:r>
        <w:t>5.7.3  道路排水沟投资</w:t>
      </w:r>
      <w:bookmarkEnd w:id="115"/>
    </w:p>
    <w:p>
      <w:pPr>
        <w:pStyle w:val="2"/>
        <w:ind w:firstLine="480"/>
        <w:rPr>
          <w:rFonts w:hint="default" w:ascii="Times New Roman" w:hAnsi="Times New Roman" w:cs="Times New Roman"/>
          <w:sz w:val="24"/>
          <w:szCs w:val="24"/>
        </w:rPr>
      </w:pPr>
      <w:r>
        <w:rPr>
          <w:rFonts w:hint="default" w:ascii="Times New Roman" w:hAnsi="Times New Roman" w:cs="Times New Roman"/>
          <w:sz w:val="24"/>
          <w:szCs w:val="24"/>
        </w:rPr>
        <w:t>排水沟长约600m，约200元/m，约120000元。</w:t>
      </w:r>
    </w:p>
    <w:p>
      <w:pPr>
        <w:pStyle w:val="5"/>
      </w:pPr>
      <w:bookmarkStart w:id="116" w:name="_Toc24202"/>
      <w:r>
        <w:t>5.7.4  总投资</w:t>
      </w:r>
      <w:bookmarkEnd w:id="116"/>
    </w:p>
    <w:p>
      <w:pPr>
        <w:pStyle w:val="2"/>
        <w:ind w:firstLine="480"/>
        <w:rPr>
          <w:rFonts w:hint="default" w:ascii="Times New Roman" w:hAnsi="Times New Roman" w:cs="Times New Roman"/>
          <w:sz w:val="24"/>
          <w:szCs w:val="24"/>
        </w:rPr>
      </w:pPr>
      <w:r>
        <w:rPr>
          <w:rFonts w:hint="default" w:ascii="Times New Roman" w:hAnsi="Times New Roman" w:cs="Times New Roman"/>
          <w:sz w:val="24"/>
          <w:szCs w:val="24"/>
        </w:rPr>
        <w:t>保护标志投资</w:t>
      </w:r>
      <w:r>
        <w:rPr>
          <w:rFonts w:hint="default" w:ascii="Times New Roman" w:hAnsi="Times New Roman" w:cs="Times New Roman"/>
          <w:color w:val="000000"/>
          <w:sz w:val="24"/>
          <w:szCs w:val="24"/>
          <w:shd w:val="clear" w:color="auto" w:fill="FFFFFF"/>
        </w:rPr>
        <w:t>约14300元，保护隔离防护投资</w:t>
      </w:r>
      <w:r>
        <w:rPr>
          <w:rFonts w:hint="default" w:ascii="Times New Roman" w:hAnsi="Times New Roman" w:cs="Times New Roman"/>
          <w:sz w:val="24"/>
          <w:szCs w:val="24"/>
        </w:rPr>
        <w:t>约18500元，耕地恢复成林地投资</w:t>
      </w:r>
      <w:r>
        <w:rPr>
          <w:rFonts w:hint="default" w:ascii="Times New Roman" w:hAnsi="Times New Roman" w:cs="Times New Roman"/>
          <w:color w:val="000000"/>
          <w:sz w:val="24"/>
          <w:szCs w:val="24"/>
          <w:shd w:val="clear" w:color="auto" w:fill="FFFFFF"/>
        </w:rPr>
        <w:t>约12000元，道路排水沟投资</w:t>
      </w:r>
      <w:r>
        <w:rPr>
          <w:rFonts w:hint="default" w:ascii="Times New Roman" w:hAnsi="Times New Roman" w:cs="Times New Roman"/>
          <w:sz w:val="24"/>
          <w:szCs w:val="24"/>
        </w:rPr>
        <w:t>约120000元</w:t>
      </w:r>
      <w:r>
        <w:rPr>
          <w:rFonts w:hint="default" w:ascii="Times New Roman" w:hAnsi="Times New Roman" w:cs="Times New Roman"/>
          <w:color w:val="000000"/>
          <w:sz w:val="24"/>
          <w:szCs w:val="24"/>
          <w:shd w:val="clear" w:color="auto" w:fill="FFFFFF"/>
        </w:rPr>
        <w:t>，人工成本约60000万</w:t>
      </w:r>
      <w:r>
        <w:rPr>
          <w:rFonts w:hint="default" w:ascii="Times New Roman" w:hAnsi="Times New Roman" w:cs="Times New Roman"/>
          <w:sz w:val="24"/>
          <w:szCs w:val="24"/>
        </w:rPr>
        <w:t>，</w:t>
      </w:r>
      <w:r>
        <w:rPr>
          <w:rFonts w:hint="default" w:ascii="Times New Roman" w:hAnsi="Times New Roman" w:cs="Times New Roman"/>
          <w:color w:val="000000"/>
          <w:sz w:val="24"/>
          <w:szCs w:val="24"/>
          <w:shd w:val="clear" w:color="auto" w:fill="FFFFFF"/>
        </w:rPr>
        <w:t>大约需要总投资22.48万元。</w:t>
      </w:r>
    </w:p>
    <w:p>
      <w:pPr>
        <w:pStyle w:val="3"/>
        <w:rPr>
          <w:rFonts w:cs="Times New Roman"/>
        </w:rPr>
      </w:pPr>
      <w:bookmarkStart w:id="117" w:name="_Toc32092_WPSOffice_Level1"/>
      <w:bookmarkStart w:id="118" w:name="_Toc4296_WPSOffice_Level1"/>
      <w:bookmarkStart w:id="119" w:name="_Toc6713"/>
      <w:r>
        <w:rPr>
          <w:rFonts w:cs="Times New Roman"/>
        </w:rPr>
        <w:t>第六章</w:t>
      </w:r>
      <w:r>
        <w:rPr>
          <w:rFonts w:hint="eastAsia" w:cs="Times New Roman"/>
        </w:rPr>
        <w:t xml:space="preserve"> </w:t>
      </w:r>
      <w:r>
        <w:rPr>
          <w:rFonts w:cs="Times New Roman"/>
        </w:rPr>
        <w:t xml:space="preserve"> 结论和建议</w:t>
      </w:r>
      <w:bookmarkEnd w:id="117"/>
      <w:bookmarkEnd w:id="118"/>
      <w:bookmarkEnd w:id="119"/>
    </w:p>
    <w:p>
      <w:pPr>
        <w:pStyle w:val="4"/>
        <w:spacing w:line="360" w:lineRule="auto"/>
        <w:rPr>
          <w:rFonts w:cs="Times New Roman"/>
        </w:rPr>
      </w:pPr>
      <w:bookmarkStart w:id="120" w:name="_Toc29753"/>
      <w:r>
        <w:rPr>
          <w:rFonts w:cs="Times New Roman"/>
        </w:rPr>
        <w:t>6.1  结论</w:t>
      </w:r>
      <w:bookmarkEnd w:id="120"/>
    </w:p>
    <w:p>
      <w:pPr>
        <w:pStyle w:val="5"/>
        <w:spacing w:line="360" w:lineRule="auto"/>
        <w:rPr>
          <w:rFonts w:cs="Times New Roman"/>
        </w:rPr>
      </w:pPr>
      <w:bookmarkStart w:id="121" w:name="_Toc5057"/>
      <w:r>
        <w:rPr>
          <w:rFonts w:cs="Times New Roman"/>
        </w:rPr>
        <w:t>6.1.1  区域自然环境和社会环境调查结论</w:t>
      </w:r>
      <w:bookmarkEnd w:id="121"/>
    </w:p>
    <w:p>
      <w:pPr>
        <w:ind w:firstLine="480"/>
        <w:rPr>
          <w:rFonts w:cs="Times New Roman"/>
        </w:rPr>
      </w:pPr>
      <w:r>
        <w:rPr>
          <w:rFonts w:cs="Times New Roman"/>
        </w:rPr>
        <w:t>桂花水库位于曲靖市富源县后所镇庆云村委会厦卡村上游约500m处，距后所镇约11.4km，距富源县城26.6km，距曲靖市96km。地理坐标为东经104°21′31″，北纬25°49′37″，所在流域属珠江流域北盘江水系，是嘉河左岸一级支流，水库坝址控制径流面积1.76km</w:t>
      </w:r>
      <w:r>
        <w:rPr>
          <w:rFonts w:cs="Times New Roman"/>
          <w:vertAlign w:val="superscript"/>
        </w:rPr>
        <w:t>2</w:t>
      </w:r>
      <w:r>
        <w:rPr>
          <w:rFonts w:cs="Times New Roman"/>
        </w:rPr>
        <w:t>，是一座以人畜饮水为主的小（二）型水库。</w:t>
      </w:r>
    </w:p>
    <w:p>
      <w:pPr>
        <w:ind w:firstLine="480"/>
        <w:rPr>
          <w:rFonts w:cs="Times New Roman"/>
        </w:rPr>
      </w:pPr>
      <w:r>
        <w:rPr>
          <w:rFonts w:cs="Times New Roman"/>
          <w:szCs w:val="24"/>
        </w:rPr>
        <w:t>年平均气温13.7℃。</w:t>
      </w:r>
      <w:r>
        <w:rPr>
          <w:rFonts w:cs="Times New Roman"/>
          <w:spacing w:val="14"/>
          <w:szCs w:val="24"/>
        </w:rPr>
        <w:t>年平均相对湿度72%</w:t>
      </w:r>
      <w:r>
        <w:rPr>
          <w:rFonts w:cs="Times New Roman"/>
          <w:szCs w:val="24"/>
        </w:rPr>
        <w:t>，</w:t>
      </w:r>
      <w:r>
        <w:rPr>
          <w:rFonts w:cs="Times New Roman"/>
          <w:spacing w:val="-4"/>
          <w:szCs w:val="24"/>
        </w:rPr>
        <w:t>年均降雨量1070mm</w:t>
      </w:r>
      <w:r>
        <w:rPr>
          <w:rFonts w:cs="Times New Roman"/>
          <w:szCs w:val="24"/>
        </w:rPr>
        <w:t>。</w:t>
      </w:r>
      <w:r>
        <w:rPr>
          <w:rFonts w:cs="Times New Roman"/>
          <w:spacing w:val="14"/>
          <w:szCs w:val="24"/>
        </w:rPr>
        <w:t>最大1小时降水量44.6mm，最大6小时暴雨量65.4mm，最大12小时暴雨84.7mm，多年平均蒸发量1150mm。年最多雾日9天，年最多雹日6天，年最多雷雨日数91天，冬季日照率57%。</w:t>
      </w:r>
      <w:r>
        <w:rPr>
          <w:rFonts w:cs="Times New Roman"/>
          <w:kern w:val="0"/>
          <w:szCs w:val="24"/>
        </w:rPr>
        <w:t>水库流域内不涉及村庄。</w:t>
      </w:r>
    </w:p>
    <w:p>
      <w:pPr>
        <w:pStyle w:val="5"/>
        <w:spacing w:line="360" w:lineRule="auto"/>
        <w:rPr>
          <w:rFonts w:cs="Times New Roman"/>
        </w:rPr>
      </w:pPr>
      <w:bookmarkStart w:id="122" w:name="_Toc28290"/>
      <w:r>
        <w:rPr>
          <w:rFonts w:cs="Times New Roman"/>
        </w:rPr>
        <w:t>6.1.2  饮用水源地保护区环境质量调查结论</w:t>
      </w:r>
      <w:bookmarkEnd w:id="122"/>
    </w:p>
    <w:p>
      <w:pPr>
        <w:ind w:firstLine="600" w:firstLineChars="0"/>
        <w:rPr>
          <w:rFonts w:cs="Times New Roman"/>
          <w:szCs w:val="24"/>
        </w:rPr>
      </w:pPr>
      <w:r>
        <w:rPr>
          <w:rFonts w:cs="Times New Roman"/>
          <w:szCs w:val="24"/>
        </w:rPr>
        <w:t>桂花水库饮用水源地水质地表水指标均达到《地表水环境质量标准》（GB3838-2002）Ⅲ类水质标准要求；补充项目均达到《地表水环境质量标准》（GB3838-2002）集中式生活饮用水地表水水源地补充项目标准要求。</w:t>
      </w:r>
    </w:p>
    <w:p>
      <w:pPr>
        <w:ind w:firstLine="600" w:firstLineChars="0"/>
        <w:rPr>
          <w:rFonts w:cs="Times New Roman"/>
        </w:rPr>
      </w:pPr>
      <w:r>
        <w:rPr>
          <w:rFonts w:cs="Times New Roman"/>
          <w:szCs w:val="24"/>
        </w:rPr>
        <w:t>桂花水库饮用水源地水质总体良好，均达到饮用水源地水质要求的水质标准。</w:t>
      </w:r>
    </w:p>
    <w:p>
      <w:pPr>
        <w:pStyle w:val="5"/>
        <w:spacing w:line="360" w:lineRule="auto"/>
        <w:rPr>
          <w:rFonts w:cs="Times New Roman"/>
        </w:rPr>
      </w:pPr>
      <w:bookmarkStart w:id="123" w:name="_Toc11365"/>
      <w:r>
        <w:rPr>
          <w:rFonts w:cs="Times New Roman"/>
        </w:rPr>
        <w:t>6.1.3  饮用水源保护区生态环境及污染源调查结论</w:t>
      </w:r>
      <w:bookmarkEnd w:id="123"/>
    </w:p>
    <w:p>
      <w:pPr>
        <w:ind w:firstLine="480"/>
        <w:rPr>
          <w:rFonts w:cs="Times New Roman"/>
        </w:rPr>
      </w:pPr>
      <w:r>
        <w:rPr>
          <w:rFonts w:cs="Times New Roman"/>
        </w:rPr>
        <w:t>在桂花水库径流范围内，乔木林地面积153.97 hm</w:t>
      </w:r>
      <w:r>
        <w:rPr>
          <w:rFonts w:cs="Times New Roman"/>
          <w:vertAlign w:val="superscript"/>
        </w:rPr>
        <w:t>2</w:t>
      </w:r>
      <w:r>
        <w:rPr>
          <w:rFonts w:cs="Times New Roman"/>
        </w:rPr>
        <w:t>，占径流面积的84.03%，为径流内的优势土地利用类型；其他草地面积18.58 hm</w:t>
      </w:r>
      <w:r>
        <w:rPr>
          <w:rFonts w:cs="Times New Roman"/>
          <w:vertAlign w:val="superscript"/>
        </w:rPr>
        <w:t>2</w:t>
      </w:r>
      <w:r>
        <w:rPr>
          <w:rFonts w:cs="Times New Roman"/>
        </w:rPr>
        <w:t>，占径流面积的10.27%；旱地面积2.80 hm</w:t>
      </w:r>
      <w:r>
        <w:rPr>
          <w:rFonts w:cs="Times New Roman"/>
          <w:vertAlign w:val="superscript"/>
        </w:rPr>
        <w:t>2</w:t>
      </w:r>
      <w:r>
        <w:rPr>
          <w:rFonts w:cs="Times New Roman"/>
        </w:rPr>
        <w:t>，占径流面积的1.55%；灌木林地面积1.87 hm</w:t>
      </w:r>
      <w:r>
        <w:rPr>
          <w:rFonts w:cs="Times New Roman"/>
          <w:vertAlign w:val="superscript"/>
        </w:rPr>
        <w:t>2</w:t>
      </w:r>
      <w:r>
        <w:rPr>
          <w:rFonts w:cs="Times New Roman"/>
        </w:rPr>
        <w:t>，占径流面积的1.03%；将风力发电输电电塔和浑水塘林场管理房划分为公用设施用地，公用设施用地面积0.28 hm</w:t>
      </w:r>
      <w:r>
        <w:rPr>
          <w:rFonts w:cs="Times New Roman"/>
          <w:vertAlign w:val="superscript"/>
        </w:rPr>
        <w:t>2</w:t>
      </w:r>
      <w:r>
        <w:rPr>
          <w:rFonts w:cs="Times New Roman"/>
        </w:rPr>
        <w:t>，占径流面积的0.15%；农村道路面积1.38 hm</w:t>
      </w:r>
      <w:r>
        <w:rPr>
          <w:rFonts w:cs="Times New Roman"/>
          <w:vertAlign w:val="superscript"/>
        </w:rPr>
        <w:t>2</w:t>
      </w:r>
      <w:r>
        <w:rPr>
          <w:rFonts w:cs="Times New Roman"/>
        </w:rPr>
        <w:t>，占径流面积的0.76%；湖泊水面面积0.30 hm</w:t>
      </w:r>
      <w:r>
        <w:rPr>
          <w:rFonts w:cs="Times New Roman"/>
          <w:vertAlign w:val="superscript"/>
        </w:rPr>
        <w:t>2</w:t>
      </w:r>
      <w:r>
        <w:rPr>
          <w:rFonts w:cs="Times New Roman"/>
        </w:rPr>
        <w:t>，占径流面积的0.17%；水库水面面积0.30 hm</w:t>
      </w:r>
      <w:r>
        <w:rPr>
          <w:rFonts w:cs="Times New Roman"/>
          <w:vertAlign w:val="superscript"/>
        </w:rPr>
        <w:t>2</w:t>
      </w:r>
      <w:r>
        <w:rPr>
          <w:rFonts w:cs="Times New Roman"/>
        </w:rPr>
        <w:t>，占径流面积的0.17%；水工建筑用地面积0.55 hm</w:t>
      </w:r>
      <w:r>
        <w:rPr>
          <w:rFonts w:cs="Times New Roman"/>
          <w:vertAlign w:val="superscript"/>
        </w:rPr>
        <w:t>2</w:t>
      </w:r>
      <w:r>
        <w:rPr>
          <w:rFonts w:cs="Times New Roman"/>
        </w:rPr>
        <w:t>，占径流面积的0.30%；将水库库区内还未蓄水的裸露坝底划分为裸土地，裸土地面积2.84 hm</w:t>
      </w:r>
      <w:r>
        <w:rPr>
          <w:rFonts w:cs="Times New Roman"/>
          <w:vertAlign w:val="superscript"/>
        </w:rPr>
        <w:t>2</w:t>
      </w:r>
      <w:r>
        <w:rPr>
          <w:rFonts w:cs="Times New Roman"/>
        </w:rPr>
        <w:t>，占径流面积的1.57%。</w:t>
      </w:r>
    </w:p>
    <w:p>
      <w:pPr>
        <w:pStyle w:val="8"/>
        <w:adjustRightInd w:val="0"/>
        <w:spacing w:before="93" w:beforeLines="30" w:line="360" w:lineRule="auto"/>
        <w:ind w:firstLine="480"/>
        <w:rPr>
          <w:rFonts w:cs="Times New Roman"/>
          <w:sz w:val="24"/>
          <w:szCs w:val="24"/>
        </w:rPr>
      </w:pPr>
      <w:r>
        <w:rPr>
          <w:rFonts w:cs="Times New Roman"/>
          <w:sz w:val="24"/>
          <w:szCs w:val="24"/>
        </w:rPr>
        <w:t>目前，桂花水库周围有风力发电输电电塔和浑水塘林场管理房，两个建筑都没有外排污染物。，保护区内污染源主要是农业农村面源污染，面源污染主要是农田固废、农田化肥流失污染等，桂花水库水源保护区内农业农村面源污染入湖量为氨氮</w:t>
      </w:r>
      <w:r>
        <w:rPr>
          <w:rFonts w:hint="eastAsia" w:cs="Times New Roman"/>
          <w:sz w:val="24"/>
          <w:szCs w:val="24"/>
        </w:rPr>
        <w:t xml:space="preserve">13.4 </w:t>
      </w:r>
      <w:r>
        <w:rPr>
          <w:rFonts w:hint="eastAsia" w:cs="Times New Roman"/>
          <w:sz w:val="24"/>
          <w:szCs w:val="22"/>
        </w:rPr>
        <w:t>kg</w:t>
      </w:r>
      <w:r>
        <w:rPr>
          <w:rFonts w:cs="Times New Roman"/>
          <w:sz w:val="24"/>
          <w:szCs w:val="22"/>
        </w:rPr>
        <w:t>/a</w:t>
      </w:r>
      <w:r>
        <w:rPr>
          <w:rFonts w:cs="Times New Roman"/>
          <w:sz w:val="24"/>
          <w:szCs w:val="24"/>
        </w:rPr>
        <w:t>、总氮</w:t>
      </w:r>
      <w:r>
        <w:rPr>
          <w:rFonts w:hint="eastAsia" w:cs="Times New Roman"/>
          <w:sz w:val="24"/>
          <w:szCs w:val="24"/>
        </w:rPr>
        <w:t xml:space="preserve">47.07 </w:t>
      </w:r>
      <w:r>
        <w:rPr>
          <w:rFonts w:hint="eastAsia" w:cs="Times New Roman"/>
          <w:sz w:val="24"/>
          <w:szCs w:val="22"/>
        </w:rPr>
        <w:t>kg</w:t>
      </w:r>
      <w:r>
        <w:rPr>
          <w:rFonts w:cs="Times New Roman"/>
          <w:sz w:val="24"/>
          <w:szCs w:val="22"/>
        </w:rPr>
        <w:t>/a</w:t>
      </w:r>
      <w:r>
        <w:rPr>
          <w:rFonts w:cs="Times New Roman"/>
          <w:sz w:val="24"/>
          <w:szCs w:val="24"/>
        </w:rPr>
        <w:t>、总磷</w:t>
      </w:r>
      <w:r>
        <w:rPr>
          <w:rFonts w:hint="eastAsia" w:cs="Times New Roman"/>
          <w:sz w:val="24"/>
          <w:szCs w:val="24"/>
        </w:rPr>
        <w:t xml:space="preserve">14.57 </w:t>
      </w:r>
      <w:r>
        <w:rPr>
          <w:rFonts w:hint="eastAsia" w:cs="Times New Roman"/>
          <w:sz w:val="24"/>
          <w:szCs w:val="22"/>
        </w:rPr>
        <w:t>kg</w:t>
      </w:r>
      <w:r>
        <w:rPr>
          <w:rFonts w:cs="Times New Roman"/>
          <w:sz w:val="24"/>
          <w:szCs w:val="22"/>
        </w:rPr>
        <w:t>/a</w:t>
      </w:r>
      <w:r>
        <w:rPr>
          <w:rFonts w:cs="Times New Roman"/>
          <w:sz w:val="24"/>
          <w:szCs w:val="24"/>
        </w:rPr>
        <w:t>。</w:t>
      </w:r>
    </w:p>
    <w:p>
      <w:pPr>
        <w:pStyle w:val="5"/>
        <w:spacing w:line="360" w:lineRule="auto"/>
        <w:rPr>
          <w:rFonts w:cs="Times New Roman"/>
        </w:rPr>
      </w:pPr>
      <w:bookmarkStart w:id="124" w:name="_Toc22970"/>
      <w:r>
        <w:rPr>
          <w:rFonts w:cs="Times New Roman"/>
        </w:rPr>
        <w:t>6.1.4  水环境功能区与水源保护区划分结论</w:t>
      </w:r>
      <w:bookmarkEnd w:id="124"/>
    </w:p>
    <w:p>
      <w:pPr>
        <w:ind w:firstLine="480"/>
      </w:pPr>
      <w:r>
        <w:t>一级保护区陆域范围北以桂花村用于农业生产的村道为界；东以桂花大坝为界；南和西为水库正常蓄水位的200 m距离为界。一级保护区陆域面积为24.40 hm</w:t>
      </w:r>
      <w:r>
        <w:rPr>
          <w:vertAlign w:val="superscript"/>
        </w:rPr>
        <w:t>2</w:t>
      </w:r>
      <w:r>
        <w:t>，占径流面积的13.48%，二级保护区陆域基本范围北边以斗米梁子南部分水岭为界；西边以风力发电场的道路东侧为界；南边以祭羊山分水岭为界，由于祭羊山分水岭与浑水塘林场用于生产的道路相邻，将边界调整到林场道路北侧。二级保护区陆域面积为151.74 hm</w:t>
      </w:r>
      <w:r>
        <w:rPr>
          <w:vertAlign w:val="superscript"/>
        </w:rPr>
        <w:t>2</w:t>
      </w:r>
      <w:r>
        <w:t>，占径流面积的83.83%。</w:t>
      </w:r>
    </w:p>
    <w:p>
      <w:pPr>
        <w:pStyle w:val="5"/>
        <w:spacing w:line="360" w:lineRule="auto"/>
        <w:rPr>
          <w:rFonts w:cs="Times New Roman"/>
        </w:rPr>
      </w:pPr>
      <w:bookmarkStart w:id="125" w:name="_Toc26734"/>
      <w:r>
        <w:rPr>
          <w:rFonts w:cs="Times New Roman"/>
        </w:rPr>
        <w:t>6.1.5  饮用水源环境管理状况调查结论</w:t>
      </w:r>
      <w:bookmarkEnd w:id="125"/>
    </w:p>
    <w:p>
      <w:pPr>
        <w:widowControl/>
        <w:adjustRightInd w:val="0"/>
        <w:snapToGrid w:val="0"/>
        <w:ind w:firstLine="480"/>
        <w:rPr>
          <w:rFonts w:cs="Times New Roman"/>
          <w:kern w:val="0"/>
          <w:szCs w:val="24"/>
        </w:rPr>
      </w:pPr>
      <w:r>
        <w:rPr>
          <w:rFonts w:cs="Times New Roman"/>
          <w:szCs w:val="24"/>
        </w:rPr>
        <w:t>桂花水库</w:t>
      </w:r>
      <w:r>
        <w:rPr>
          <w:rFonts w:cs="Times New Roman"/>
          <w:kern w:val="0"/>
          <w:szCs w:val="24"/>
        </w:rPr>
        <w:t>饮用水源地目前均未建立完整的环境保护管理办法，也未建立相应的监测实施方案和应急预案。</w:t>
      </w:r>
    </w:p>
    <w:p>
      <w:pPr>
        <w:pStyle w:val="2"/>
        <w:ind w:firstLine="480"/>
        <w:rPr>
          <w:rFonts w:hint="default" w:ascii="Times New Roman" w:hAnsi="Times New Roman" w:eastAsia="仿宋" w:cs="Times New Roman"/>
        </w:rPr>
      </w:pPr>
      <w:r>
        <w:rPr>
          <w:rFonts w:hint="default" w:ascii="Times New Roman" w:hAnsi="Times New Roman" w:cs="Times New Roman"/>
          <w:sz w:val="24"/>
          <w:szCs w:val="24"/>
        </w:rPr>
        <w:t>桂花水库</w:t>
      </w:r>
      <w:r>
        <w:rPr>
          <w:rFonts w:hint="default" w:ascii="Times New Roman" w:hAnsi="Times New Roman" w:cs="Times New Roman"/>
          <w:kern w:val="0"/>
          <w:sz w:val="24"/>
          <w:szCs w:val="24"/>
        </w:rPr>
        <w:t>隶属于富源县</w:t>
      </w:r>
      <w:r>
        <w:rPr>
          <w:rFonts w:hint="default" w:ascii="Times New Roman" w:hAnsi="Times New Roman" w:cs="Times New Roman"/>
          <w:color w:val="000000" w:themeColor="text1"/>
          <w:sz w:val="24"/>
          <w14:textFill>
            <w14:solidFill>
              <w14:schemeClr w14:val="tx1"/>
            </w14:solidFill>
          </w14:textFill>
        </w:rPr>
        <w:t>后所镇人民政府</w:t>
      </w:r>
      <w:r>
        <w:rPr>
          <w:rFonts w:hint="default" w:ascii="Times New Roman" w:hAnsi="Times New Roman" w:cs="Times New Roman"/>
          <w:kern w:val="0"/>
          <w:sz w:val="24"/>
          <w:szCs w:val="24"/>
        </w:rPr>
        <w:t>管理，是后所镇的集中式饮用水源地。</w:t>
      </w:r>
      <w:r>
        <w:rPr>
          <w:rFonts w:hint="default" w:ascii="Times New Roman" w:hAnsi="Times New Roman" w:cs="Times New Roman"/>
          <w:color w:val="000000" w:themeColor="text1"/>
          <w:sz w:val="24"/>
          <w14:textFill>
            <w14:solidFill>
              <w14:schemeClr w14:val="tx1"/>
            </w14:solidFill>
          </w14:textFill>
        </w:rPr>
        <w:t>后所镇人民政府及</w:t>
      </w:r>
      <w:r>
        <w:rPr>
          <w:rFonts w:hint="default" w:ascii="Times New Roman" w:hAnsi="Times New Roman" w:cs="Times New Roman"/>
          <w:kern w:val="0"/>
          <w:sz w:val="24"/>
          <w:szCs w:val="24"/>
        </w:rPr>
        <w:t>相关部门应高度重视饮水安全及水资源保护工作，</w:t>
      </w:r>
      <w:r>
        <w:rPr>
          <w:rFonts w:hint="default" w:ascii="Times New Roman" w:hAnsi="Times New Roman" w:cs="Times New Roman"/>
          <w:sz w:val="24"/>
          <w:szCs w:val="24"/>
        </w:rPr>
        <w:t>完善饮用水源地保护设施，设立防护网、界桩、保护标志，制定管理条例，建立健全饮用水源安全预警制度，定期发布饮用水源地水质监测信息。加强饮用水源地环境监管，按分级保护要求，坚决取缔饮用水源一级保护区内的排污口，禁止在二级保护区新增排污口，严格控制保护区内经济开发活动，禁止在水源保护区建设有污染物排放和破坏生态的项目。积极调整水源保护区的农业产业结构，推广绿色农业和生态农业，减少化肥农药的施用量和农业废弃物的污染。因地制宜，建立水源地保护标志，防止水源污染。</w:t>
      </w:r>
    </w:p>
    <w:p>
      <w:pPr>
        <w:pStyle w:val="2"/>
        <w:ind w:firstLine="48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sz w:val="24"/>
          <w:szCs w:val="24"/>
          <w:shd w:val="clear" w:color="auto" w:fill="FFFFFF"/>
        </w:rPr>
        <w:t>桂花水库目前尚未建立相应的</w:t>
      </w:r>
      <w:r>
        <w:rPr>
          <w:rFonts w:hint="default" w:ascii="Times New Roman" w:hAnsi="Times New Roman" w:cs="Times New Roman"/>
          <w:color w:val="000000"/>
          <w:sz w:val="24"/>
          <w:szCs w:val="24"/>
          <w:shd w:val="clear" w:color="auto" w:fill="FFFFFF"/>
        </w:rPr>
        <w:t>水质监测制度和水质监测方案，</w:t>
      </w:r>
      <w:r>
        <w:rPr>
          <w:rFonts w:hint="default" w:ascii="Times New Roman" w:hAnsi="Times New Roman" w:cs="Times New Roman"/>
          <w:color w:val="000000" w:themeColor="text1"/>
          <w:sz w:val="24"/>
          <w:szCs w:val="24"/>
          <w14:textFill>
            <w14:solidFill>
              <w14:schemeClr w14:val="tx1"/>
            </w14:solidFill>
          </w14:textFill>
        </w:rPr>
        <w:t>监测能力有待完善。桂花水库环境管理方面的制度不完善，环境保护检查基本上按照要求进行，但执法检查制度方面的制度有待加强制定和落实。现有保护区管理主要以水库管理所为核心管理机构。</w:t>
      </w:r>
    </w:p>
    <w:p>
      <w:pPr>
        <w:pStyle w:val="4"/>
        <w:spacing w:line="360" w:lineRule="auto"/>
        <w:rPr>
          <w:rFonts w:cs="Times New Roman"/>
        </w:rPr>
      </w:pPr>
      <w:bookmarkStart w:id="126" w:name="_Toc21802"/>
      <w:r>
        <w:rPr>
          <w:rFonts w:cs="Times New Roman"/>
        </w:rPr>
        <w:t>6.2  问题及建议</w:t>
      </w:r>
      <w:bookmarkEnd w:id="126"/>
    </w:p>
    <w:p>
      <w:pPr>
        <w:pStyle w:val="5"/>
        <w:spacing w:line="360" w:lineRule="auto"/>
        <w:rPr>
          <w:rFonts w:cs="Times New Roman"/>
        </w:rPr>
      </w:pPr>
      <w:bookmarkStart w:id="127" w:name="_Toc490510982"/>
      <w:bookmarkStart w:id="128" w:name="_Toc28062"/>
      <w:bookmarkStart w:id="129" w:name="_Toc4526"/>
      <w:r>
        <w:rPr>
          <w:rFonts w:cs="Times New Roman"/>
        </w:rPr>
        <w:t>6.2.1  严厉查处饮用水源污染违法行为</w:t>
      </w:r>
      <w:bookmarkEnd w:id="127"/>
      <w:bookmarkEnd w:id="128"/>
    </w:p>
    <w:p>
      <w:pPr>
        <w:autoSpaceDE w:val="0"/>
        <w:autoSpaceDN w:val="0"/>
        <w:ind w:firstLine="480"/>
        <w:rPr>
          <w:rFonts w:cs="Times New Roman"/>
          <w:color w:val="000000"/>
          <w:szCs w:val="24"/>
          <w:shd w:val="clear" w:color="auto" w:fill="FFFFFF"/>
        </w:rPr>
      </w:pPr>
      <w:r>
        <w:rPr>
          <w:rFonts w:cs="Times New Roman"/>
          <w:color w:val="000000"/>
          <w:szCs w:val="24"/>
          <w:shd w:val="clear" w:color="auto" w:fill="FFFFFF"/>
        </w:rPr>
        <w:t>针对可能造成饮用水水源污染的问题，要制定饮用水水源地保护管理办法，严格执行水源保护法律法规，加强执法队伍建设，加大执法监督力度，着力查处饮用水源水环境违法违规行为，促进水资源、水环境的良性循环，着力解决影响水环境和饮用水安全的突出问题，维护人民群众的切身利益。</w:t>
      </w:r>
    </w:p>
    <w:p>
      <w:pPr>
        <w:pStyle w:val="5"/>
        <w:autoSpaceDE w:val="0"/>
        <w:autoSpaceDN w:val="0"/>
        <w:spacing w:line="360" w:lineRule="auto"/>
        <w:rPr>
          <w:rFonts w:eastAsia="宋体" w:cs="Times New Roman"/>
          <w:szCs w:val="24"/>
        </w:rPr>
      </w:pPr>
      <w:bookmarkStart w:id="130" w:name="_Toc490510983"/>
      <w:bookmarkStart w:id="131" w:name="_Toc19646"/>
      <w:r>
        <w:rPr>
          <w:rFonts w:eastAsia="宋体" w:cs="Times New Roman"/>
          <w:szCs w:val="24"/>
        </w:rPr>
        <w:t>6.2.2  对饮用水源保护区要严格监管</w:t>
      </w:r>
      <w:bookmarkEnd w:id="130"/>
      <w:bookmarkEnd w:id="131"/>
    </w:p>
    <w:p>
      <w:pPr>
        <w:ind w:firstLine="480"/>
        <w:rPr>
          <w:shd w:val="clear" w:color="auto" w:fill="FFFFFF"/>
        </w:rPr>
      </w:pPr>
      <w:r>
        <w:rPr>
          <w:shd w:val="clear" w:color="auto" w:fill="FFFFFF"/>
        </w:rPr>
        <w:t>强化对的监管力度，严格落实退出机制，严禁在</w:t>
      </w:r>
      <w:r>
        <w:t>一、</w:t>
      </w:r>
      <w:r>
        <w:rPr>
          <w:shd w:val="clear" w:color="auto" w:fill="FFFFFF"/>
        </w:rPr>
        <w:t>二级保护区内从事任何可能造成生态破坏或污染水质的活动。同时，严格落实</w:t>
      </w:r>
      <w:r>
        <w:t>一、</w:t>
      </w:r>
      <w:r>
        <w:rPr>
          <w:shd w:val="clear" w:color="auto" w:fill="FFFFFF"/>
        </w:rPr>
        <w:t>二级保护区内不得从事任何可能造成生态破坏或污染水质的活动，强化对保护区范围内的监管工作，要求保护区范围内必须采取有效的</w:t>
      </w:r>
      <w:r>
        <w:t>监管</w:t>
      </w:r>
      <w:r>
        <w:rPr>
          <w:shd w:val="clear" w:color="auto" w:fill="FFFFFF"/>
        </w:rPr>
        <w:t>措施，防止水体造成污染。</w:t>
      </w:r>
    </w:p>
    <w:p>
      <w:pPr>
        <w:pStyle w:val="5"/>
        <w:spacing w:line="360" w:lineRule="auto"/>
        <w:rPr>
          <w:rFonts w:eastAsia="宋体" w:cs="Times New Roman"/>
          <w:szCs w:val="24"/>
        </w:rPr>
      </w:pPr>
      <w:bookmarkStart w:id="132" w:name="_Toc490510984"/>
      <w:bookmarkStart w:id="133" w:name="_Toc10391"/>
      <w:r>
        <w:rPr>
          <w:rFonts w:eastAsia="宋体" w:cs="Times New Roman"/>
          <w:szCs w:val="24"/>
        </w:rPr>
        <w:t>6.2.3  项目审批要严守生态和发展两条底线</w:t>
      </w:r>
      <w:bookmarkEnd w:id="129"/>
      <w:bookmarkEnd w:id="132"/>
      <w:bookmarkEnd w:id="133"/>
    </w:p>
    <w:p>
      <w:pPr>
        <w:ind w:firstLine="480"/>
        <w:rPr>
          <w:rFonts w:cs="Times New Roman"/>
          <w:color w:val="000000"/>
          <w:szCs w:val="24"/>
        </w:rPr>
      </w:pPr>
      <w:r>
        <w:rPr>
          <w:rFonts w:cs="Times New Roman"/>
          <w:color w:val="000000"/>
          <w:szCs w:val="24"/>
        </w:rPr>
        <w:t>在项目监管方面，要严格执行《饮用水水源保护区污染防治管理规定》（89环管字第201号），严格遵守一级和二级保护区规定，明确禁止在一、二级饮用水源保护区内的污染排放行为；扩大水源保护区面山、水体、河道等绿色生态空间，增强水源涵养能力；要严格水域岸线用途管制，土地开发利用应按照有关法律法规和技术标准要求，留足河道、湖泊的管理和保护范围。严把库区周边新建项目的环保审批关，对存在饮用水源污染隐患，达不到环保要求的项目一律不得审批；严守水源保护区生态和发展两条底线，确保饮水安全，合理有效开发利用饮用水资源。</w:t>
      </w:r>
    </w:p>
    <w:p>
      <w:pPr>
        <w:pStyle w:val="5"/>
      </w:pPr>
      <w:bookmarkStart w:id="134" w:name="_Toc29722"/>
      <w:bookmarkStart w:id="135" w:name="_Toc490510985"/>
      <w:bookmarkStart w:id="136" w:name="_Toc4433"/>
      <w:r>
        <w:t>6.2.4  完善风险源应急机制</w:t>
      </w:r>
      <w:bookmarkEnd w:id="134"/>
      <w:bookmarkEnd w:id="135"/>
      <w:bookmarkEnd w:id="136"/>
    </w:p>
    <w:p>
      <w:pPr>
        <w:autoSpaceDE w:val="0"/>
        <w:autoSpaceDN w:val="0"/>
        <w:ind w:firstLine="480"/>
        <w:rPr>
          <w:rFonts w:cs="Times New Roman"/>
          <w:color w:val="000000"/>
          <w:szCs w:val="24"/>
          <w:shd w:val="clear" w:color="auto" w:fill="FFFFFF"/>
        </w:rPr>
      </w:pPr>
      <w:r>
        <w:rPr>
          <w:rFonts w:cs="Times New Roman"/>
          <w:szCs w:val="24"/>
        </w:rPr>
        <w:t>桂花水库</w:t>
      </w:r>
      <w:r>
        <w:rPr>
          <w:rFonts w:cs="Times New Roman"/>
          <w:color w:val="000000"/>
          <w:szCs w:val="24"/>
          <w:shd w:val="clear" w:color="auto" w:fill="FFFFFF"/>
        </w:rPr>
        <w:t>的预警机制及应急措施不健全，一旦出现环境突发事件，将会对水源地构成重大危险。因此，要建立水源地重大风险源应急预案，成立应急指挥小组，明确相关部门职责，规范处置程序，一旦发生污染事件，果断及时采取必要和适当的响应行动，提高应急能力，最大限度地保障饮水安全。同时做好潜在事故发生的管理。</w:t>
      </w:r>
    </w:p>
    <w:p>
      <w:pPr>
        <w:pStyle w:val="5"/>
      </w:pPr>
      <w:bookmarkStart w:id="137" w:name="_Toc490510986"/>
      <w:bookmarkStart w:id="138" w:name="_Toc27270"/>
      <w:r>
        <w:t>6.2.5  加强对径流区范围内的环境综合整治</w:t>
      </w:r>
      <w:bookmarkEnd w:id="137"/>
      <w:bookmarkEnd w:id="138"/>
    </w:p>
    <w:p>
      <w:pPr>
        <w:autoSpaceDE w:val="0"/>
        <w:autoSpaceDN w:val="0"/>
        <w:ind w:firstLine="480"/>
        <w:rPr>
          <w:rFonts w:cs="Times New Roman"/>
          <w:color w:val="000000"/>
          <w:szCs w:val="24"/>
          <w:shd w:val="clear" w:color="auto" w:fill="FFFFFF"/>
        </w:rPr>
      </w:pPr>
      <w:r>
        <w:rPr>
          <w:rFonts w:cs="Times New Roman"/>
          <w:color w:val="000000"/>
          <w:szCs w:val="24"/>
          <w:shd w:val="clear" w:color="auto" w:fill="FFFFFF"/>
        </w:rPr>
        <w:t>桂花水库饮用水源的主要污染源便是农业面源污染，为确保饮用水水质安全，修建道路排水沟，禁止在饮用水源保护区范围内进行规模化养殖，落实科学种植和水产养殖，避免养殖粪便、化肥农药、饲料等对水体带来污染隐患。</w:t>
      </w:r>
    </w:p>
    <w:p>
      <w:pPr>
        <w:pStyle w:val="5"/>
      </w:pPr>
      <w:bookmarkStart w:id="139" w:name="_Toc490510987"/>
      <w:bookmarkStart w:id="140" w:name="_Toc19501"/>
      <w:r>
        <w:t>6.2.6  完善饮用水源地保护区内的标示标牌工作</w:t>
      </w:r>
      <w:bookmarkEnd w:id="139"/>
      <w:bookmarkEnd w:id="140"/>
    </w:p>
    <w:p>
      <w:pPr>
        <w:ind w:firstLine="480"/>
        <w:rPr>
          <w:rFonts w:cs="Times New Roman"/>
          <w:color w:val="000000"/>
          <w:szCs w:val="24"/>
          <w:shd w:val="clear" w:color="auto" w:fill="FFFFFF"/>
        </w:rPr>
      </w:pPr>
      <w:r>
        <w:rPr>
          <w:rFonts w:cs="Times New Roman"/>
          <w:szCs w:val="24"/>
        </w:rPr>
        <w:t>桂花水库</w:t>
      </w:r>
      <w:r>
        <w:rPr>
          <w:rFonts w:cs="Times New Roman"/>
          <w:color w:val="000000"/>
          <w:szCs w:val="24"/>
          <w:shd w:val="clear" w:color="auto" w:fill="FFFFFF"/>
        </w:rPr>
        <w:t>水源地保护区内没有标识牌和警示牌，不能满足要求，对水源的保护管理和突发环境事件的预防不利。因此，待本饮用水源保护区划定报告批准实施后，要依据《饮用水源保护区标志技术要求》（HJ/T433-2008），在各级保护区规划界线处竖立界标；在进入饮用水源保护区的道路设置道路警示牌；在饮用水源保护区设置宣传牌。同时，做好饮用水源保护区标志的管理与维护工作。</w:t>
      </w:r>
    </w:p>
    <w:p>
      <w:pPr>
        <w:pStyle w:val="5"/>
      </w:pPr>
      <w:bookmarkStart w:id="141" w:name="_Toc490510988"/>
      <w:bookmarkStart w:id="142" w:name="_Toc28599"/>
      <w:r>
        <w:t>6.2.7  强化部门间联动协作机制，提高执法能力</w:t>
      </w:r>
      <w:bookmarkEnd w:id="141"/>
      <w:bookmarkEnd w:id="142"/>
    </w:p>
    <w:p>
      <w:pPr>
        <w:autoSpaceDE w:val="0"/>
        <w:autoSpaceDN w:val="0"/>
        <w:ind w:firstLine="480"/>
        <w:rPr>
          <w:rFonts w:cs="Times New Roman"/>
          <w:color w:val="000000"/>
          <w:szCs w:val="24"/>
          <w:shd w:val="clear" w:color="auto" w:fill="FFFFFF"/>
        </w:rPr>
      </w:pPr>
      <w:r>
        <w:rPr>
          <w:rFonts w:cs="Times New Roman"/>
          <w:color w:val="000000"/>
          <w:szCs w:val="24"/>
          <w:shd w:val="clear" w:color="auto" w:fill="FFFFFF"/>
        </w:rPr>
        <w:t>各职能部门除认真履行各自职能依法监管外，应加强部门间的沟通与协作，建立联动协作机制，提高执法能力，严厉打击各种涉饮用水源地环境保护方面的违法行为，有效遏制各类环境污染事件，预防饮用水源地保护区范围内的突发环境事情，共同保护水源地水质的安全。</w:t>
      </w:r>
    </w:p>
    <w:p>
      <w:pPr>
        <w:pStyle w:val="5"/>
      </w:pPr>
      <w:bookmarkStart w:id="143" w:name="_Toc490510989"/>
      <w:bookmarkStart w:id="144" w:name="_Toc10517"/>
      <w:bookmarkStart w:id="145" w:name="_Toc6893"/>
      <w:r>
        <w:t>6.2.8  加大宣传保护及公众参与机制</w:t>
      </w:r>
      <w:bookmarkEnd w:id="143"/>
      <w:bookmarkEnd w:id="144"/>
      <w:bookmarkEnd w:id="145"/>
    </w:p>
    <w:p>
      <w:pPr>
        <w:ind w:firstLine="480"/>
        <w:rPr>
          <w:shd w:val="clear" w:color="auto" w:fill="FFFFFF"/>
        </w:rPr>
      </w:pPr>
      <w:r>
        <w:rPr>
          <w:shd w:val="clear" w:color="auto" w:fill="FFFFFF"/>
        </w:rPr>
        <w:t>水源保护区居民主动参与环境保护与水源管理是构建水源保护区管理的基础，必须保障水源区居民从保护水源中取得合理的经济收益，才有可能引导水源保护区居民自觉保护水源。将水源保护绩效与经济收益相联系，水资源费反哺及财政转移支付与水源保护区生态建设、水源保护相挂钩，让水源保护区居民主动参与水源管理，防止水源污染与生态破坏事件，减少政府监督管理的行政开支。采用宣传片、广告、宣传牌、墙报、宣传册、讲座等方式，加强水源保护区内公众宣传教育工作，让群众参与到水源保护工作中来</w:t>
      </w:r>
      <w:r>
        <w:rPr>
          <w:rFonts w:hint="eastAsia"/>
          <w:shd w:val="clear" w:color="auto" w:fill="FFFFFF"/>
        </w:rPr>
        <w:t>。</w:t>
      </w:r>
    </w:p>
    <w:sectPr>
      <w:footerReference r:id="rId11" w:type="default"/>
      <w:pgSz w:w="11906" w:h="16838"/>
      <w:pgMar w:top="1440" w:right="1800" w:bottom="1440" w:left="1800"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ngLiU_HKSCS">
    <w:panose1 w:val="02020500000000000000"/>
    <w:charset w:val="88"/>
    <w:family w:val="roman"/>
    <w:pitch w:val="default"/>
    <w:sig w:usb0="A00002FF" w:usb1="38CFFCFA" w:usb2="00000016" w:usb3="00000000" w:csb0="00100001" w:csb1="00000000"/>
  </w:font>
  <w:font w:name="等线 Light">
    <w:altName w:val="宋体"/>
    <w:panose1 w:val="02010600030101010101"/>
    <w:charset w:val="86"/>
    <w:family w:val="auto"/>
    <w:pitch w:val="default"/>
    <w:sig w:usb0="00000000" w:usb1="00000000" w:usb2="00000016" w:usb3="00000000" w:csb0="0004000F" w:csb1="00000000"/>
  </w:font>
  <w:font w:name="MingLiU">
    <w:panose1 w:val="02020509000000000000"/>
    <w:charset w:val="88"/>
    <w:family w:val="modern"/>
    <w:pitch w:val="default"/>
    <w:sig w:usb0="A00002FF" w:usb1="28CFFCFA" w:usb2="00000016" w:usb3="00000000" w:csb0="00100001" w:csb1="00000000"/>
  </w:font>
  <w:font w:name="Angsana New">
    <w:panose1 w:val="02020603050405020304"/>
    <w:charset w:val="DE"/>
    <w:family w:val="roman"/>
    <w:pitch w:val="default"/>
    <w:sig w:usb0="81000003" w:usb1="00000000" w:usb2="00000000" w:usb3="00000000" w:csb0="00010001" w:csb1="00000000"/>
  </w:font>
  <w:font w:name="Sylfaen">
    <w:panose1 w:val="010A0502050306030303"/>
    <w:charset w:val="00"/>
    <w:family w:val="roman"/>
    <w:pitch w:val="default"/>
    <w:sig w:usb0="04000687" w:usb1="00000000" w:usb2="00000000" w:usb3="00000000" w:csb0="2000009F" w:csb1="00000000"/>
  </w:font>
  <w:font w:name="仿宋">
    <w:panose1 w:val="02010609060101010101"/>
    <w:charset w:val="86"/>
    <w:family w:val="modern"/>
    <w:pitch w:val="default"/>
    <w:sig w:usb0="800002BF" w:usb1="38CF7CFA"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Euphemia">
    <w:panose1 w:val="020B0503040102020104"/>
    <w:charset w:val="00"/>
    <w:family w:val="swiss"/>
    <w:pitch w:val="variable"/>
    <w:sig w:usb0="8000006F" w:usb1="0000004A" w:usb2="00002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54057838"/>
    </w:sdtPr>
    <w:sdtContent>
      <w:p>
        <w:pPr>
          <w:pStyle w:val="14"/>
          <w:ind w:firstLine="360"/>
          <w:jc w:val="center"/>
        </w:pPr>
        <w:r>
          <w:fldChar w:fldCharType="begin"/>
        </w:r>
        <w:r>
          <w:instrText xml:space="preserve">PAGE   \* MERGEFORMAT</w:instrText>
        </w:r>
        <w:r>
          <w:fldChar w:fldCharType="separate"/>
        </w:r>
        <w:r>
          <w:rPr>
            <w:lang w:val="zh-CN"/>
          </w:rPr>
          <w:t>2</w:t>
        </w:r>
        <w:r>
          <w:fldChar w:fldCharType="end"/>
        </w:r>
      </w:p>
    </w:sdtContent>
  </w:sdt>
  <w:p>
    <w:pPr>
      <w:pStyle w:val="1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hiYmYzNDk3ZGI0NWU3NjgyMDg0MDE2YjYxYTYxNDAifQ=="/>
  </w:docVars>
  <w:rsids>
    <w:rsidRoot w:val="006C0F06"/>
    <w:rsid w:val="0000629E"/>
    <w:rsid w:val="0003093A"/>
    <w:rsid w:val="00034633"/>
    <w:rsid w:val="0005429F"/>
    <w:rsid w:val="00057936"/>
    <w:rsid w:val="0006452E"/>
    <w:rsid w:val="000B1728"/>
    <w:rsid w:val="000C31D0"/>
    <w:rsid w:val="000D7932"/>
    <w:rsid w:val="000F38F6"/>
    <w:rsid w:val="000F7969"/>
    <w:rsid w:val="00122303"/>
    <w:rsid w:val="00142194"/>
    <w:rsid w:val="0015748D"/>
    <w:rsid w:val="00172FBF"/>
    <w:rsid w:val="00175AF0"/>
    <w:rsid w:val="001772B2"/>
    <w:rsid w:val="001A6AD9"/>
    <w:rsid w:val="001C15A9"/>
    <w:rsid w:val="001E390B"/>
    <w:rsid w:val="001E3A9C"/>
    <w:rsid w:val="001E5807"/>
    <w:rsid w:val="002210DC"/>
    <w:rsid w:val="002643EE"/>
    <w:rsid w:val="002743FF"/>
    <w:rsid w:val="00276FB9"/>
    <w:rsid w:val="00291FF9"/>
    <w:rsid w:val="00293F73"/>
    <w:rsid w:val="002C40B8"/>
    <w:rsid w:val="003120E5"/>
    <w:rsid w:val="00333019"/>
    <w:rsid w:val="003357CA"/>
    <w:rsid w:val="00387146"/>
    <w:rsid w:val="00391A62"/>
    <w:rsid w:val="003A1A7A"/>
    <w:rsid w:val="003D08F9"/>
    <w:rsid w:val="003D1A76"/>
    <w:rsid w:val="003D5209"/>
    <w:rsid w:val="003E44DA"/>
    <w:rsid w:val="003F0044"/>
    <w:rsid w:val="00435D0B"/>
    <w:rsid w:val="00445B1F"/>
    <w:rsid w:val="004524BA"/>
    <w:rsid w:val="00471AC6"/>
    <w:rsid w:val="004B1C12"/>
    <w:rsid w:val="004B25A3"/>
    <w:rsid w:val="004B4A99"/>
    <w:rsid w:val="005301BB"/>
    <w:rsid w:val="005378E8"/>
    <w:rsid w:val="00540DC4"/>
    <w:rsid w:val="00546024"/>
    <w:rsid w:val="005557AF"/>
    <w:rsid w:val="005D32F9"/>
    <w:rsid w:val="005E03E7"/>
    <w:rsid w:val="00690021"/>
    <w:rsid w:val="006A784F"/>
    <w:rsid w:val="006B0C0C"/>
    <w:rsid w:val="006C0F06"/>
    <w:rsid w:val="006C2102"/>
    <w:rsid w:val="006D4631"/>
    <w:rsid w:val="006E33B9"/>
    <w:rsid w:val="00715FE4"/>
    <w:rsid w:val="00717957"/>
    <w:rsid w:val="0072221D"/>
    <w:rsid w:val="007339B5"/>
    <w:rsid w:val="00740A07"/>
    <w:rsid w:val="007732C4"/>
    <w:rsid w:val="00774705"/>
    <w:rsid w:val="007A7B57"/>
    <w:rsid w:val="007E3C36"/>
    <w:rsid w:val="007F471A"/>
    <w:rsid w:val="008867E3"/>
    <w:rsid w:val="00894064"/>
    <w:rsid w:val="008B398D"/>
    <w:rsid w:val="008C66BF"/>
    <w:rsid w:val="008E15FE"/>
    <w:rsid w:val="008E7C08"/>
    <w:rsid w:val="00905BC7"/>
    <w:rsid w:val="0091116D"/>
    <w:rsid w:val="00920656"/>
    <w:rsid w:val="00934CB5"/>
    <w:rsid w:val="009363A5"/>
    <w:rsid w:val="00987D90"/>
    <w:rsid w:val="009A6380"/>
    <w:rsid w:val="009A64E7"/>
    <w:rsid w:val="009B0D52"/>
    <w:rsid w:val="009E2F70"/>
    <w:rsid w:val="00A37FAA"/>
    <w:rsid w:val="00A443AE"/>
    <w:rsid w:val="00A56EEC"/>
    <w:rsid w:val="00A631DB"/>
    <w:rsid w:val="00AD700A"/>
    <w:rsid w:val="00B4475F"/>
    <w:rsid w:val="00B54789"/>
    <w:rsid w:val="00B728D5"/>
    <w:rsid w:val="00BD1D7B"/>
    <w:rsid w:val="00BE3BD6"/>
    <w:rsid w:val="00BF4A6D"/>
    <w:rsid w:val="00C13A8B"/>
    <w:rsid w:val="00C5655C"/>
    <w:rsid w:val="00C612FB"/>
    <w:rsid w:val="00CA137A"/>
    <w:rsid w:val="00CA7892"/>
    <w:rsid w:val="00D03A22"/>
    <w:rsid w:val="00D101AB"/>
    <w:rsid w:val="00D22359"/>
    <w:rsid w:val="00D6249A"/>
    <w:rsid w:val="00D747A4"/>
    <w:rsid w:val="00D931B0"/>
    <w:rsid w:val="00DC77CA"/>
    <w:rsid w:val="00E04998"/>
    <w:rsid w:val="00E2438B"/>
    <w:rsid w:val="00E5086C"/>
    <w:rsid w:val="00E534ED"/>
    <w:rsid w:val="00ED504D"/>
    <w:rsid w:val="00F76C2A"/>
    <w:rsid w:val="00FD606A"/>
    <w:rsid w:val="02A935A1"/>
    <w:rsid w:val="039D3263"/>
    <w:rsid w:val="05985D19"/>
    <w:rsid w:val="06DA6B11"/>
    <w:rsid w:val="08B70DC2"/>
    <w:rsid w:val="16440F2C"/>
    <w:rsid w:val="16F72589"/>
    <w:rsid w:val="1B1D4EAD"/>
    <w:rsid w:val="1D32172D"/>
    <w:rsid w:val="22595C98"/>
    <w:rsid w:val="250E3B03"/>
    <w:rsid w:val="2CF93BB4"/>
    <w:rsid w:val="2FED5A1E"/>
    <w:rsid w:val="32897C7A"/>
    <w:rsid w:val="336040E8"/>
    <w:rsid w:val="337B696D"/>
    <w:rsid w:val="3B687FE2"/>
    <w:rsid w:val="3C4A76E2"/>
    <w:rsid w:val="3F2459DB"/>
    <w:rsid w:val="456F5E78"/>
    <w:rsid w:val="4A226B18"/>
    <w:rsid w:val="4EE37329"/>
    <w:rsid w:val="501F7C69"/>
    <w:rsid w:val="516D6953"/>
    <w:rsid w:val="560D2BAF"/>
    <w:rsid w:val="58174F01"/>
    <w:rsid w:val="5A3059A0"/>
    <w:rsid w:val="60FE03E8"/>
    <w:rsid w:val="67F541FB"/>
    <w:rsid w:val="6E3C0E7E"/>
    <w:rsid w:val="6E7224F0"/>
    <w:rsid w:val="72A84755"/>
    <w:rsid w:val="76D70FA3"/>
    <w:rsid w:val="7883765D"/>
    <w:rsid w:val="7DB2298D"/>
    <w:rsid w:val="7F6B04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MingLiU_HKSCS" w:hAnsi="MingLiU_HKSCS" w:eastAsia="MingLiU_HKSCS" w:cs="MingLiU_HKSCS"/>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宋体" w:cstheme="minorBidi"/>
      <w:kern w:val="2"/>
      <w:sz w:val="24"/>
      <w:szCs w:val="22"/>
      <w:lang w:val="en-US" w:eastAsia="zh-CN" w:bidi="ar-SA"/>
    </w:rPr>
  </w:style>
  <w:style w:type="paragraph" w:styleId="3">
    <w:name w:val="heading 1"/>
    <w:basedOn w:val="1"/>
    <w:next w:val="1"/>
    <w:link w:val="28"/>
    <w:qFormat/>
    <w:uiPriority w:val="9"/>
    <w:pPr>
      <w:keepNext/>
      <w:keepLines/>
      <w:pageBreakBefore/>
      <w:spacing w:before="60" w:after="240"/>
      <w:ind w:firstLine="0" w:firstLineChars="0"/>
      <w:jc w:val="center"/>
      <w:outlineLvl w:val="0"/>
    </w:pPr>
    <w:rPr>
      <w:rFonts w:eastAsia="黑体"/>
      <w:b/>
      <w:bCs/>
      <w:kern w:val="44"/>
      <w:sz w:val="30"/>
      <w:szCs w:val="44"/>
    </w:rPr>
  </w:style>
  <w:style w:type="paragraph" w:styleId="4">
    <w:name w:val="heading 2"/>
    <w:basedOn w:val="1"/>
    <w:next w:val="1"/>
    <w:link w:val="29"/>
    <w:unhideWhenUsed/>
    <w:qFormat/>
    <w:uiPriority w:val="9"/>
    <w:pPr>
      <w:keepNext/>
      <w:keepLines/>
      <w:spacing w:before="60" w:after="60" w:line="240" w:lineRule="auto"/>
      <w:ind w:firstLine="0" w:firstLineChars="0"/>
      <w:outlineLvl w:val="1"/>
    </w:pPr>
    <w:rPr>
      <w:rFonts w:eastAsia="黑体" w:cstheme="majorBidi"/>
      <w:b/>
      <w:bCs/>
      <w:sz w:val="28"/>
      <w:szCs w:val="32"/>
    </w:rPr>
  </w:style>
  <w:style w:type="paragraph" w:styleId="5">
    <w:name w:val="heading 3"/>
    <w:basedOn w:val="1"/>
    <w:next w:val="1"/>
    <w:link w:val="30"/>
    <w:unhideWhenUsed/>
    <w:qFormat/>
    <w:uiPriority w:val="9"/>
    <w:pPr>
      <w:keepNext/>
      <w:keepLines/>
      <w:spacing w:before="60" w:after="60" w:line="240" w:lineRule="auto"/>
      <w:ind w:firstLine="0" w:firstLineChars="0"/>
      <w:outlineLvl w:val="2"/>
    </w:pPr>
    <w:rPr>
      <w:rFonts w:eastAsia="黑体"/>
      <w:b/>
      <w:bCs/>
      <w:szCs w:val="32"/>
    </w:rPr>
  </w:style>
  <w:style w:type="paragraph" w:styleId="6">
    <w:name w:val="heading 4"/>
    <w:basedOn w:val="1"/>
    <w:next w:val="1"/>
    <w:link w:val="36"/>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5">
    <w:name w:val="Default Paragraph Font"/>
    <w:unhideWhenUsed/>
    <w:uiPriority w:val="1"/>
  </w:style>
  <w:style w:type="table" w:default="1" w:styleId="23">
    <w:name w:val="Normal Table"/>
    <w:unhideWhenUsed/>
    <w:qFormat/>
    <w:uiPriority w:val="99"/>
    <w:tblPr>
      <w:tblCellMar>
        <w:top w:w="0" w:type="dxa"/>
        <w:left w:w="108" w:type="dxa"/>
        <w:bottom w:w="0" w:type="dxa"/>
        <w:right w:w="108" w:type="dxa"/>
      </w:tblCellMar>
    </w:tblPr>
  </w:style>
  <w:style w:type="paragraph" w:styleId="2">
    <w:name w:val="Plain Text"/>
    <w:basedOn w:val="1"/>
    <w:link w:val="39"/>
    <w:qFormat/>
    <w:uiPriority w:val="99"/>
    <w:rPr>
      <w:rFonts w:hint="eastAsia" w:ascii="宋体" w:hAnsi="Courier New"/>
      <w:sz w:val="21"/>
    </w:rPr>
  </w:style>
  <w:style w:type="paragraph" w:styleId="7">
    <w:name w:val="toc 7"/>
    <w:basedOn w:val="1"/>
    <w:next w:val="1"/>
    <w:unhideWhenUsed/>
    <w:uiPriority w:val="39"/>
    <w:pPr>
      <w:ind w:left="2520" w:leftChars="1200"/>
    </w:pPr>
  </w:style>
  <w:style w:type="paragraph" w:styleId="8">
    <w:name w:val="Normal Indent"/>
    <w:basedOn w:val="1"/>
    <w:qFormat/>
    <w:uiPriority w:val="0"/>
    <w:pPr>
      <w:snapToGrid w:val="0"/>
      <w:spacing w:line="480" w:lineRule="atLeast"/>
      <w:ind w:firstLine="567"/>
    </w:pPr>
    <w:rPr>
      <w:sz w:val="28"/>
      <w:szCs w:val="20"/>
    </w:rPr>
  </w:style>
  <w:style w:type="paragraph" w:styleId="9">
    <w:name w:val="Body Text Indent"/>
    <w:basedOn w:val="1"/>
    <w:unhideWhenUsed/>
    <w:qFormat/>
    <w:uiPriority w:val="99"/>
    <w:pPr>
      <w:spacing w:after="120"/>
      <w:ind w:left="420" w:leftChars="200"/>
    </w:pPr>
    <w:rPr>
      <w:szCs w:val="24"/>
    </w:rPr>
  </w:style>
  <w:style w:type="paragraph" w:styleId="10">
    <w:name w:val="toc 5"/>
    <w:basedOn w:val="1"/>
    <w:next w:val="1"/>
    <w:unhideWhenUsed/>
    <w:uiPriority w:val="39"/>
    <w:pPr>
      <w:ind w:left="1680" w:leftChars="800"/>
    </w:pPr>
  </w:style>
  <w:style w:type="paragraph" w:styleId="11">
    <w:name w:val="toc 3"/>
    <w:basedOn w:val="1"/>
    <w:next w:val="1"/>
    <w:unhideWhenUsed/>
    <w:uiPriority w:val="39"/>
    <w:pPr>
      <w:ind w:left="840" w:leftChars="400"/>
    </w:pPr>
  </w:style>
  <w:style w:type="paragraph" w:styleId="12">
    <w:name w:val="toc 8"/>
    <w:basedOn w:val="1"/>
    <w:next w:val="1"/>
    <w:unhideWhenUsed/>
    <w:uiPriority w:val="39"/>
    <w:pPr>
      <w:ind w:left="2940" w:leftChars="1400"/>
    </w:pPr>
  </w:style>
  <w:style w:type="paragraph" w:styleId="13">
    <w:name w:val="Balloon Text"/>
    <w:basedOn w:val="1"/>
    <w:link w:val="35"/>
    <w:unhideWhenUsed/>
    <w:qFormat/>
    <w:uiPriority w:val="99"/>
    <w:pPr>
      <w:spacing w:line="240" w:lineRule="auto"/>
    </w:pPr>
    <w:rPr>
      <w:sz w:val="18"/>
      <w:szCs w:val="18"/>
    </w:rPr>
  </w:style>
  <w:style w:type="paragraph" w:styleId="14">
    <w:name w:val="footer"/>
    <w:basedOn w:val="1"/>
    <w:link w:val="32"/>
    <w:unhideWhenUsed/>
    <w:qFormat/>
    <w:uiPriority w:val="99"/>
    <w:pPr>
      <w:tabs>
        <w:tab w:val="center" w:pos="4153"/>
        <w:tab w:val="right" w:pos="8306"/>
      </w:tabs>
      <w:snapToGrid w:val="0"/>
      <w:spacing w:line="240" w:lineRule="auto"/>
      <w:jc w:val="left"/>
    </w:pPr>
    <w:rPr>
      <w:sz w:val="18"/>
      <w:szCs w:val="18"/>
    </w:rPr>
  </w:style>
  <w:style w:type="paragraph" w:styleId="15">
    <w:name w:val="header"/>
    <w:basedOn w:val="1"/>
    <w:link w:val="3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6">
    <w:name w:val="toc 1"/>
    <w:basedOn w:val="1"/>
    <w:next w:val="1"/>
    <w:unhideWhenUsed/>
    <w:uiPriority w:val="39"/>
  </w:style>
  <w:style w:type="paragraph" w:styleId="17">
    <w:name w:val="toc 4"/>
    <w:basedOn w:val="1"/>
    <w:next w:val="1"/>
    <w:unhideWhenUsed/>
    <w:uiPriority w:val="39"/>
    <w:pPr>
      <w:ind w:left="1260" w:leftChars="600"/>
    </w:pPr>
  </w:style>
  <w:style w:type="paragraph" w:styleId="18">
    <w:name w:val="toc 6"/>
    <w:basedOn w:val="1"/>
    <w:next w:val="1"/>
    <w:unhideWhenUsed/>
    <w:uiPriority w:val="39"/>
    <w:pPr>
      <w:ind w:left="2100" w:leftChars="1000"/>
    </w:pPr>
  </w:style>
  <w:style w:type="paragraph" w:styleId="19">
    <w:name w:val="toc 2"/>
    <w:basedOn w:val="1"/>
    <w:next w:val="1"/>
    <w:unhideWhenUsed/>
    <w:uiPriority w:val="39"/>
    <w:pPr>
      <w:ind w:left="420" w:leftChars="200"/>
    </w:pPr>
  </w:style>
  <w:style w:type="paragraph" w:styleId="20">
    <w:name w:val="toc 9"/>
    <w:basedOn w:val="1"/>
    <w:next w:val="1"/>
    <w:unhideWhenUsed/>
    <w:uiPriority w:val="39"/>
    <w:pPr>
      <w:ind w:left="3360" w:leftChars="1600"/>
    </w:pPr>
  </w:style>
  <w:style w:type="paragraph" w:styleId="21">
    <w:name w:val="Normal (Web)"/>
    <w:basedOn w:val="1"/>
    <w:unhideWhenUsed/>
    <w:qFormat/>
    <w:uiPriority w:val="99"/>
    <w:pPr>
      <w:widowControl/>
      <w:spacing w:before="100" w:beforeAutospacing="1" w:after="100" w:afterAutospacing="1" w:line="240" w:lineRule="auto"/>
      <w:ind w:firstLine="0" w:firstLineChars="0"/>
      <w:jc w:val="left"/>
    </w:pPr>
    <w:rPr>
      <w:rFonts w:ascii="宋体" w:hAnsi="宋体" w:cs="宋体"/>
      <w:kern w:val="0"/>
      <w:szCs w:val="24"/>
    </w:rPr>
  </w:style>
  <w:style w:type="paragraph" w:styleId="22">
    <w:name w:val="Title"/>
    <w:basedOn w:val="1"/>
    <w:next w:val="1"/>
    <w:link w:val="27"/>
    <w:qFormat/>
    <w:uiPriority w:val="10"/>
    <w:pPr>
      <w:spacing w:before="60" w:after="240"/>
      <w:ind w:firstLine="0" w:firstLineChars="0"/>
      <w:jc w:val="center"/>
      <w:outlineLvl w:val="0"/>
    </w:pPr>
    <w:rPr>
      <w:rFonts w:eastAsia="黑体" w:cstheme="majorBidi"/>
      <w:b/>
      <w:bCs/>
      <w:sz w:val="36"/>
      <w:szCs w:val="32"/>
    </w:rPr>
  </w:style>
  <w:style w:type="table" w:styleId="24">
    <w:name w:val="Table Grid"/>
    <w:basedOn w:val="2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Hyperlink"/>
    <w:basedOn w:val="25"/>
    <w:unhideWhenUsed/>
    <w:qFormat/>
    <w:uiPriority w:val="99"/>
    <w:rPr>
      <w:color w:val="0000FF"/>
      <w:u w:val="single"/>
    </w:rPr>
  </w:style>
  <w:style w:type="character" w:customStyle="1" w:styleId="27">
    <w:name w:val="标题 字符"/>
    <w:basedOn w:val="25"/>
    <w:link w:val="22"/>
    <w:qFormat/>
    <w:uiPriority w:val="10"/>
    <w:rPr>
      <w:rFonts w:ascii="Times New Roman" w:hAnsi="Times New Roman" w:eastAsia="黑体" w:cstheme="majorBidi"/>
      <w:b/>
      <w:bCs/>
      <w:sz w:val="36"/>
      <w:szCs w:val="32"/>
    </w:rPr>
  </w:style>
  <w:style w:type="character" w:customStyle="1" w:styleId="28">
    <w:name w:val="标题 1 字符"/>
    <w:basedOn w:val="25"/>
    <w:link w:val="3"/>
    <w:qFormat/>
    <w:uiPriority w:val="9"/>
    <w:rPr>
      <w:rFonts w:ascii="Times New Roman" w:hAnsi="Times New Roman" w:eastAsia="黑体"/>
      <w:b/>
      <w:bCs/>
      <w:kern w:val="44"/>
      <w:sz w:val="30"/>
      <w:szCs w:val="44"/>
    </w:rPr>
  </w:style>
  <w:style w:type="character" w:customStyle="1" w:styleId="29">
    <w:name w:val="标题 2 字符"/>
    <w:basedOn w:val="25"/>
    <w:link w:val="4"/>
    <w:qFormat/>
    <w:uiPriority w:val="9"/>
    <w:rPr>
      <w:rFonts w:ascii="Times New Roman" w:hAnsi="Times New Roman" w:eastAsia="黑体" w:cstheme="majorBidi"/>
      <w:b/>
      <w:bCs/>
      <w:sz w:val="28"/>
      <w:szCs w:val="32"/>
    </w:rPr>
  </w:style>
  <w:style w:type="character" w:customStyle="1" w:styleId="30">
    <w:name w:val="标题 3 字符"/>
    <w:basedOn w:val="25"/>
    <w:link w:val="5"/>
    <w:qFormat/>
    <w:uiPriority w:val="9"/>
    <w:rPr>
      <w:rFonts w:ascii="Times New Roman" w:hAnsi="Times New Roman" w:eastAsia="黑体"/>
      <w:b/>
      <w:bCs/>
      <w:sz w:val="24"/>
      <w:szCs w:val="32"/>
    </w:rPr>
  </w:style>
  <w:style w:type="character" w:customStyle="1" w:styleId="31">
    <w:name w:val="页眉 字符"/>
    <w:basedOn w:val="25"/>
    <w:link w:val="15"/>
    <w:qFormat/>
    <w:uiPriority w:val="99"/>
    <w:rPr>
      <w:rFonts w:ascii="Times New Roman" w:hAnsi="Times New Roman" w:eastAsia="宋体"/>
      <w:sz w:val="18"/>
      <w:szCs w:val="18"/>
    </w:rPr>
  </w:style>
  <w:style w:type="character" w:customStyle="1" w:styleId="32">
    <w:name w:val="页脚 字符"/>
    <w:basedOn w:val="25"/>
    <w:link w:val="14"/>
    <w:qFormat/>
    <w:uiPriority w:val="99"/>
    <w:rPr>
      <w:rFonts w:ascii="Times New Roman" w:hAnsi="Times New Roman" w:eastAsia="宋体"/>
      <w:sz w:val="18"/>
      <w:szCs w:val="18"/>
    </w:rPr>
  </w:style>
  <w:style w:type="paragraph" w:customStyle="1" w:styleId="33">
    <w:name w:val="表格"/>
    <w:basedOn w:val="1"/>
    <w:link w:val="34"/>
    <w:qFormat/>
    <w:uiPriority w:val="0"/>
    <w:pPr>
      <w:spacing w:line="240" w:lineRule="auto"/>
      <w:ind w:firstLine="0" w:firstLineChars="0"/>
      <w:jc w:val="center"/>
    </w:pPr>
    <w:rPr>
      <w:rFonts w:cs="Times New Roman"/>
      <w:sz w:val="21"/>
    </w:rPr>
  </w:style>
  <w:style w:type="character" w:customStyle="1" w:styleId="34">
    <w:name w:val="表格 字符"/>
    <w:basedOn w:val="25"/>
    <w:link w:val="33"/>
    <w:qFormat/>
    <w:uiPriority w:val="0"/>
    <w:rPr>
      <w:rFonts w:ascii="Times New Roman" w:hAnsi="Times New Roman" w:eastAsia="宋体" w:cs="Times New Roman"/>
    </w:rPr>
  </w:style>
  <w:style w:type="character" w:customStyle="1" w:styleId="35">
    <w:name w:val="批注框文本 字符"/>
    <w:basedOn w:val="25"/>
    <w:link w:val="13"/>
    <w:semiHidden/>
    <w:qFormat/>
    <w:uiPriority w:val="99"/>
    <w:rPr>
      <w:rFonts w:ascii="Times New Roman" w:hAnsi="Times New Roman" w:eastAsia="宋体"/>
      <w:sz w:val="18"/>
      <w:szCs w:val="18"/>
    </w:rPr>
  </w:style>
  <w:style w:type="character" w:customStyle="1" w:styleId="36">
    <w:name w:val="标题 4 字符"/>
    <w:basedOn w:val="25"/>
    <w:link w:val="6"/>
    <w:qFormat/>
    <w:uiPriority w:val="9"/>
    <w:rPr>
      <w:rFonts w:asciiTheme="majorHAnsi" w:hAnsiTheme="majorHAnsi" w:eastAsiaTheme="majorEastAsia" w:cstheme="majorBidi"/>
      <w:b/>
      <w:bCs/>
      <w:sz w:val="28"/>
      <w:szCs w:val="28"/>
    </w:rPr>
  </w:style>
  <w:style w:type="paragraph" w:customStyle="1" w:styleId="37">
    <w:name w:val="表格标题"/>
    <w:basedOn w:val="1"/>
    <w:next w:val="1"/>
    <w:qFormat/>
    <w:uiPriority w:val="0"/>
    <w:pPr>
      <w:adjustRightInd w:val="0"/>
      <w:spacing w:before="50" w:beforeLines="50" w:after="50" w:afterLines="50"/>
      <w:ind w:firstLine="0" w:firstLineChars="0"/>
      <w:jc w:val="center"/>
    </w:pPr>
    <w:rPr>
      <w:rFonts w:cs="宋体"/>
      <w:b/>
      <w:szCs w:val="24"/>
    </w:rPr>
  </w:style>
  <w:style w:type="paragraph" w:customStyle="1" w:styleId="38">
    <w:name w:val="WPSOffice手动目录 1"/>
    <w:qFormat/>
    <w:uiPriority w:val="0"/>
    <w:rPr>
      <w:rFonts w:ascii="Calibri" w:hAnsi="Calibri" w:eastAsia="宋体" w:cs="Times New Roman"/>
      <w:lang w:val="en-US" w:eastAsia="zh-CN" w:bidi="ar-SA"/>
    </w:rPr>
  </w:style>
  <w:style w:type="character" w:customStyle="1" w:styleId="39">
    <w:name w:val="纯文本 字符"/>
    <w:basedOn w:val="25"/>
    <w:link w:val="2"/>
    <w:qFormat/>
    <w:uiPriority w:val="99"/>
    <w:rPr>
      <w:rFonts w:ascii="宋体" w:hAnsi="Courier New" w:eastAsia="宋体"/>
      <w:kern w:val="2"/>
      <w:sz w:val="21"/>
      <w:szCs w:val="22"/>
    </w:rPr>
  </w:style>
  <w:style w:type="paragraph" w:customStyle="1" w:styleId="40">
    <w:name w:val="正文文本 (2)"/>
    <w:basedOn w:val="1"/>
    <w:link w:val="42"/>
    <w:qFormat/>
    <w:uiPriority w:val="0"/>
    <w:pPr>
      <w:shd w:val="clear" w:color="auto" w:fill="FFFFFF"/>
      <w:spacing w:line="0" w:lineRule="atLeast"/>
      <w:jc w:val="distribute"/>
    </w:pPr>
    <w:rPr>
      <w:rFonts w:ascii="MingLiU" w:hAnsi="MingLiU" w:eastAsia="MingLiU" w:cs="MingLiU"/>
    </w:rPr>
  </w:style>
  <w:style w:type="character" w:customStyle="1" w:styleId="41">
    <w:name w:val="正文文本 (2) + Angsana New"/>
    <w:basedOn w:val="42"/>
    <w:qFormat/>
    <w:uiPriority w:val="0"/>
    <w:rPr>
      <w:rFonts w:ascii="Angsana New" w:hAnsi="Angsana New" w:eastAsia="Angsana New" w:cs="Angsana New"/>
      <w:b/>
      <w:bCs/>
      <w:color w:val="000000"/>
      <w:spacing w:val="0"/>
      <w:w w:val="100"/>
      <w:position w:val="0"/>
      <w:sz w:val="38"/>
      <w:szCs w:val="38"/>
      <w:u w:val="none"/>
      <w:lang w:val="en-US" w:eastAsia="en-US" w:bidi="en-US"/>
    </w:rPr>
  </w:style>
  <w:style w:type="character" w:customStyle="1" w:styleId="42">
    <w:name w:val="正文文本 (2)_"/>
    <w:basedOn w:val="25"/>
    <w:link w:val="40"/>
    <w:qFormat/>
    <w:uiPriority w:val="0"/>
    <w:rPr>
      <w:rFonts w:ascii="MingLiU" w:hAnsi="MingLiU" w:eastAsia="MingLiU" w:cs="MingLiU"/>
      <w:u w:val="none"/>
    </w:rPr>
  </w:style>
  <w:style w:type="paragraph" w:customStyle="1" w:styleId="43">
    <w:name w:val="表格标题1"/>
    <w:basedOn w:val="1"/>
    <w:link w:val="50"/>
    <w:qFormat/>
    <w:uiPriority w:val="0"/>
    <w:pPr>
      <w:shd w:val="clear" w:color="auto" w:fill="FFFFFF"/>
      <w:spacing w:line="0" w:lineRule="atLeast"/>
      <w:jc w:val="distribute"/>
    </w:pPr>
    <w:rPr>
      <w:rFonts w:ascii="MingLiU" w:hAnsi="MingLiU" w:eastAsia="MingLiU" w:cs="MingLiU"/>
      <w:sz w:val="21"/>
      <w:szCs w:val="21"/>
    </w:rPr>
  </w:style>
  <w:style w:type="character" w:customStyle="1" w:styleId="44">
    <w:name w:val="正文文本 (2) + 10.5 pt1"/>
    <w:basedOn w:val="42"/>
    <w:qFormat/>
    <w:uiPriority w:val="0"/>
    <w:rPr>
      <w:rFonts w:ascii="MingLiU" w:hAnsi="MingLiU" w:eastAsia="MingLiU" w:cs="MingLiU"/>
      <w:color w:val="000000"/>
      <w:spacing w:val="0"/>
      <w:w w:val="100"/>
      <w:position w:val="0"/>
      <w:sz w:val="21"/>
      <w:szCs w:val="21"/>
      <w:u w:val="none"/>
      <w:lang w:val="en-US" w:eastAsia="en-US" w:bidi="en-US"/>
    </w:rPr>
  </w:style>
  <w:style w:type="character" w:customStyle="1" w:styleId="45">
    <w:name w:val="正文文本 (2) + Sylfaen3"/>
    <w:basedOn w:val="42"/>
    <w:qFormat/>
    <w:uiPriority w:val="0"/>
    <w:rPr>
      <w:rFonts w:ascii="Sylfaen" w:hAnsi="Sylfaen" w:eastAsia="Sylfaen" w:cs="Sylfaen"/>
      <w:b/>
      <w:bCs/>
      <w:color w:val="000000"/>
      <w:spacing w:val="0"/>
      <w:w w:val="100"/>
      <w:position w:val="0"/>
      <w:sz w:val="19"/>
      <w:szCs w:val="19"/>
      <w:u w:val="none"/>
      <w:lang w:val="en-US" w:eastAsia="en-US" w:bidi="en-US"/>
    </w:rPr>
  </w:style>
  <w:style w:type="character" w:customStyle="1" w:styleId="46">
    <w:name w:val="正文文本 (2) + 间距 0 pt"/>
    <w:basedOn w:val="42"/>
    <w:qFormat/>
    <w:uiPriority w:val="0"/>
    <w:rPr>
      <w:rFonts w:ascii="MingLiU" w:hAnsi="MingLiU" w:eastAsia="MingLiU" w:cs="MingLiU"/>
      <w:color w:val="000000"/>
      <w:spacing w:val="-10"/>
      <w:w w:val="100"/>
      <w:position w:val="0"/>
      <w:sz w:val="24"/>
      <w:szCs w:val="24"/>
      <w:u w:val="none"/>
      <w:lang w:val="en-US" w:eastAsia="en-US" w:bidi="en-US"/>
    </w:rPr>
  </w:style>
  <w:style w:type="character" w:customStyle="1" w:styleId="47">
    <w:name w:val="正文文本 (2) + Sylfaen4"/>
    <w:basedOn w:val="42"/>
    <w:qFormat/>
    <w:uiPriority w:val="0"/>
    <w:rPr>
      <w:rFonts w:ascii="Sylfaen" w:hAnsi="Sylfaen" w:eastAsia="Sylfaen" w:cs="Sylfaen"/>
      <w:i/>
      <w:iCs/>
      <w:color w:val="000000"/>
      <w:spacing w:val="0"/>
      <w:w w:val="100"/>
      <w:position w:val="0"/>
      <w:sz w:val="19"/>
      <w:szCs w:val="19"/>
      <w:u w:val="none"/>
      <w:lang w:val="zh-TW" w:eastAsia="zh-TW" w:bidi="zh-TW"/>
    </w:rPr>
  </w:style>
  <w:style w:type="paragraph" w:customStyle="1" w:styleId="48">
    <w:name w:val="正文文本 (16)"/>
    <w:basedOn w:val="1"/>
    <w:qFormat/>
    <w:uiPriority w:val="0"/>
    <w:pPr>
      <w:shd w:val="clear" w:color="auto" w:fill="FFFFFF"/>
      <w:spacing w:line="0" w:lineRule="atLeast"/>
    </w:pPr>
    <w:rPr>
      <w:rFonts w:ascii="MingLiU" w:hAnsi="MingLiU" w:eastAsia="MingLiU" w:cs="MingLiU"/>
      <w:sz w:val="21"/>
      <w:szCs w:val="21"/>
    </w:rPr>
  </w:style>
  <w:style w:type="character" w:customStyle="1" w:styleId="49">
    <w:name w:val="表格标题 + Sylfaen2"/>
    <w:basedOn w:val="50"/>
    <w:qFormat/>
    <w:uiPriority w:val="0"/>
    <w:rPr>
      <w:rFonts w:ascii="Sylfaen" w:hAnsi="Sylfaen" w:eastAsia="Sylfaen" w:cs="Sylfaen"/>
      <w:b/>
      <w:bCs/>
      <w:color w:val="000000"/>
      <w:spacing w:val="0"/>
      <w:w w:val="100"/>
      <w:position w:val="0"/>
      <w:sz w:val="19"/>
      <w:szCs w:val="19"/>
      <w:u w:val="none"/>
      <w:lang w:val="en-US" w:eastAsia="en-US" w:bidi="en-US"/>
    </w:rPr>
  </w:style>
  <w:style w:type="character" w:customStyle="1" w:styleId="50">
    <w:name w:val="表格标题_"/>
    <w:basedOn w:val="25"/>
    <w:link w:val="43"/>
    <w:qFormat/>
    <w:uiPriority w:val="0"/>
    <w:rPr>
      <w:rFonts w:ascii="MingLiU" w:hAnsi="MingLiU" w:eastAsia="MingLiU" w:cs="MingLiU"/>
      <w:sz w:val="21"/>
      <w:szCs w:val="21"/>
      <w:u w:val="none"/>
    </w:rPr>
  </w:style>
  <w:style w:type="paragraph" w:customStyle="1" w:styleId="5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customXml" Target="../customXml/item1.xml"/><Relationship Id="rId14" Type="http://schemas.openxmlformats.org/officeDocument/2006/relationships/chart" Target="charts/chart1.xml"/><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面积</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旱地</c:v>
                </c:pt>
                <c:pt idx="1">
                  <c:v>乔木林地</c:v>
                </c:pt>
                <c:pt idx="2">
                  <c:v>灌木林地</c:v>
                </c:pt>
                <c:pt idx="3">
                  <c:v>其他草地</c:v>
                </c:pt>
                <c:pt idx="4">
                  <c:v>公用设施用地</c:v>
                </c:pt>
                <c:pt idx="5">
                  <c:v>农村道路</c:v>
                </c:pt>
                <c:pt idx="6">
                  <c:v>湖泊水面</c:v>
                </c:pt>
                <c:pt idx="7">
                  <c:v>水库水面</c:v>
                </c:pt>
                <c:pt idx="8">
                  <c:v>水工建筑用地</c:v>
                </c:pt>
                <c:pt idx="9">
                  <c:v>裸土地</c:v>
                </c:pt>
              </c:strCache>
            </c:strRef>
          </c:cat>
          <c:val>
            <c:numRef>
              <c:f>Sheet1!$B$2:$B$11</c:f>
              <c:numCache>
                <c:formatCode>0.00_ </c:formatCode>
                <c:ptCount val="10"/>
                <c:pt idx="0">
                  <c:v>1.54696132596685</c:v>
                </c:pt>
                <c:pt idx="1">
                  <c:v>84.0331491712707</c:v>
                </c:pt>
                <c:pt idx="2">
                  <c:v>1.03314917127072</c:v>
                </c:pt>
                <c:pt idx="3">
                  <c:v>10.2651933701657</c:v>
                </c:pt>
                <c:pt idx="4">
                  <c:v>0.154696132596685</c:v>
                </c:pt>
                <c:pt idx="5">
                  <c:v>0.762430939226519</c:v>
                </c:pt>
                <c:pt idx="6">
                  <c:v>0.165745856353591</c:v>
                </c:pt>
                <c:pt idx="7">
                  <c:v>0.165745856353591</c:v>
                </c:pt>
                <c:pt idx="8">
                  <c:v>0.303867403314917</c:v>
                </c:pt>
                <c:pt idx="9">
                  <c:v>1.56906077348066</c:v>
                </c:pt>
              </c:numCache>
            </c:numRef>
          </c:val>
        </c:ser>
        <c:dLbls>
          <c:showLegendKey val="0"/>
          <c:showVal val="0"/>
          <c:showCatName val="0"/>
          <c:showSerName val="0"/>
          <c:showPercent val="0"/>
          <c:showBubbleSize val="0"/>
        </c:dLbls>
        <c:gapWidth val="219"/>
        <c:overlap val="-27"/>
        <c:axId val="1141427000"/>
        <c:axId val="1141427984"/>
      </c:barChart>
      <c:catAx>
        <c:axId val="1141427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宋体" panose="02010600030101010101" charset="-122"/>
                <a:ea typeface="宋体" panose="02010600030101010101" charset="-122"/>
                <a:cs typeface="+mn-cs"/>
              </a:defRPr>
            </a:pPr>
          </a:p>
        </c:txPr>
        <c:crossAx val="1141427984"/>
        <c:crosses val="autoZero"/>
        <c:auto val="1"/>
        <c:lblAlgn val="ctr"/>
        <c:lblOffset val="100"/>
        <c:noMultiLvlLbl val="0"/>
      </c:catAx>
      <c:valAx>
        <c:axId val="11414279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Euphemia" panose="020B0503040102020104" pitchFamily="34" charset="0"/>
                    <a:ea typeface="+mn-ea"/>
                    <a:cs typeface="+mn-cs"/>
                  </a:defRPr>
                </a:pPr>
                <a:r>
                  <a:rPr lang="zh-CN" altLang="en-US">
                    <a:latin typeface="宋体" panose="02010600030101010101" charset="-122"/>
                    <a:ea typeface="宋体" panose="02010600030101010101" charset="-122"/>
                  </a:rPr>
                  <a:t>百分比（</a:t>
                </a:r>
                <a:r>
                  <a:rPr lang="en-US" altLang="zh-CN">
                    <a:latin typeface="宋体" panose="02010600030101010101" charset="-122"/>
                    <a:ea typeface="宋体" panose="02010600030101010101" charset="-122"/>
                  </a:rPr>
                  <a:t>%</a:t>
                </a:r>
                <a:r>
                  <a:rPr lang="zh-CN" altLang="en-US">
                    <a:latin typeface="宋体" panose="02010600030101010101" charset="-122"/>
                    <a:ea typeface="宋体" panose="02010600030101010101" charset="-122"/>
                  </a:rPr>
                  <a:t>）</a:t>
                </a:r>
                <a:endParaRPr lang="zh-CN" altLang="en-US">
                  <a:latin typeface="宋体" panose="02010600030101010101" charset="-122"/>
                  <a:ea typeface="宋体" panose="02010600030101010101" charset="-122"/>
                </a:endParaRPr>
              </a:p>
            </c:rich>
          </c:tx>
          <c:layout/>
          <c:overlay val="0"/>
          <c:spPr>
            <a:noFill/>
            <a:ln>
              <a:noFill/>
            </a:ln>
            <a:effectLst/>
          </c:spPr>
        </c:title>
        <c:numFmt formatCode="0.00_ "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11414270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latin typeface="Euphemia" panose="020B0503040102020104" pitchFamily="34" charset="0"/>
        </a:defRPr>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4FCE51-165B-4128-8E99-01AEED6C0649}">
  <ds:schemaRefs/>
</ds:datastoreItem>
</file>

<file path=docProps/app.xml><?xml version="1.0" encoding="utf-8"?>
<Properties xmlns="http://schemas.openxmlformats.org/officeDocument/2006/extended-properties" xmlns:vt="http://schemas.openxmlformats.org/officeDocument/2006/docPropsVTypes">
  <Template>Normal.dotm</Template>
  <Pages>34</Pages>
  <Words>16973</Words>
  <Characters>21673</Characters>
  <Lines>160</Lines>
  <Paragraphs>45</Paragraphs>
  <TotalTime>1</TotalTime>
  <ScaleCrop>false</ScaleCrop>
  <LinksUpToDate>false</LinksUpToDate>
  <CharactersWithSpaces>22319</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2019-09-03T08:10:00Z</dcterms:created>
  <dc:creator>xu luo</dc:creator>
  <cp:lastModifiedBy>杨帆</cp:lastModifiedBy>
  <cp:lastPrinted>2019-09-27T09:14:00Z</cp:lastPrinted>
  <dcterms:modified xsi:type="dcterms:W3CDTF">2024-07-15T02:57:12Z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1B94B8B708614BCCB8FDF7F833F494F1_12</vt:lpwstr>
  </property>
</Properties>
</file>