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富源县应急管理系统</w:t>
      </w:r>
      <w:r>
        <w:rPr>
          <w:rFonts w:hint="eastAsia" w:ascii="方正小标宋_GBK" w:hAnsi="方正小标宋_GBK" w:eastAsia="方正小标宋_GBK" w:cs="方正小标宋_GBK"/>
          <w:i w:val="0"/>
          <w:caps w:val="0"/>
          <w:color w:val="auto"/>
          <w:spacing w:val="0"/>
          <w:sz w:val="44"/>
          <w:szCs w:val="44"/>
          <w:lang w:eastAsia="zh-CN"/>
        </w:rPr>
        <w:t>包容审慎执法</w:t>
      </w:r>
      <w:r>
        <w:rPr>
          <w:rFonts w:hint="eastAsia" w:ascii="方正小标宋_GBK" w:hAnsi="方正小标宋_GBK" w:eastAsia="方正小标宋_GBK" w:cs="方正小标宋_GBK"/>
          <w:i w:val="0"/>
          <w:caps w:val="0"/>
          <w:color w:val="auto"/>
          <w:spacing w:val="0"/>
          <w:sz w:val="44"/>
          <w:szCs w:val="44"/>
        </w:rPr>
        <w:t>减免责清单</w:t>
      </w:r>
      <w:r>
        <w:rPr>
          <w:rFonts w:hint="eastAsia" w:ascii="方正小标宋简体" w:hAnsi="方正小标宋简体" w:eastAsia="方正小标宋简体" w:cs="方正小标宋简体"/>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一、不予行政处罚事项清单</w:t>
      </w:r>
    </w:p>
    <w:tbl>
      <w:tblPr>
        <w:tblStyle w:val="7"/>
        <w:tblW w:w="144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1"/>
        <w:gridCol w:w="1640"/>
        <w:gridCol w:w="4721"/>
        <w:gridCol w:w="2228"/>
        <w:gridCol w:w="3868"/>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5" w:hRule="atLeast"/>
          <w:tblHeader/>
          <w:jc w:val="center"/>
        </w:trPr>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highlight w:val="none"/>
                <w:u w:val="none"/>
                <w:lang w:val="en-US" w:eastAsia="zh-CN"/>
              </w:rPr>
            </w:pPr>
            <w:r>
              <w:rPr>
                <w:rFonts w:hint="eastAsia" w:ascii="黑体" w:hAnsi="黑体" w:eastAsia="黑体" w:cs="黑体"/>
                <w:b w:val="0"/>
                <w:bCs/>
                <w:i w:val="0"/>
                <w:color w:val="auto"/>
                <w:kern w:val="0"/>
                <w:sz w:val="21"/>
                <w:szCs w:val="21"/>
                <w:highlight w:val="none"/>
                <w:u w:val="none"/>
                <w:lang w:val="en-US" w:eastAsia="zh-CN"/>
              </w:rPr>
              <w:t>序</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rPr>
              <w:t>号</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rPr>
              <w:t>行政处罚事项</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rPr>
              <w:t>设定</w:t>
            </w:r>
            <w:r>
              <w:rPr>
                <w:rFonts w:hint="default" w:ascii="黑体" w:hAnsi="黑体" w:eastAsia="黑体" w:cs="黑体"/>
                <w:b w:val="0"/>
                <w:bCs/>
                <w:i w:val="0"/>
                <w:color w:val="auto"/>
                <w:kern w:val="0"/>
                <w:sz w:val="21"/>
                <w:szCs w:val="21"/>
                <w:highlight w:val="none"/>
                <w:u w:val="none"/>
                <w:lang w:val="en-US" w:eastAsia="zh-CN"/>
              </w:rPr>
              <w:t>法律</w:t>
            </w:r>
            <w:r>
              <w:rPr>
                <w:rFonts w:hint="eastAsia" w:ascii="黑体" w:hAnsi="黑体" w:eastAsia="黑体" w:cs="黑体"/>
                <w:b w:val="0"/>
                <w:bCs/>
                <w:i w:val="0"/>
                <w:color w:val="auto"/>
                <w:kern w:val="0"/>
                <w:sz w:val="21"/>
                <w:szCs w:val="21"/>
                <w:highlight w:val="none"/>
                <w:u w:val="none"/>
                <w:lang w:val="en-US" w:eastAsia="zh-CN"/>
              </w:rPr>
              <w:t>依据</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黑体" w:hAnsi="黑体" w:eastAsia="黑体" w:cs="黑体"/>
                <w:b w:val="0"/>
                <w:bCs/>
                <w:i w:val="0"/>
                <w:color w:val="auto"/>
                <w:kern w:val="2"/>
                <w:sz w:val="21"/>
                <w:szCs w:val="21"/>
                <w:highlight w:val="none"/>
                <w:u w:val="none"/>
                <w:lang w:val="en-US" w:eastAsia="zh-CN" w:bidi="ar-SA"/>
              </w:rPr>
            </w:pPr>
            <w:r>
              <w:rPr>
                <w:rFonts w:hint="eastAsia" w:ascii="黑体" w:hAnsi="黑体" w:eastAsia="黑体" w:cs="黑体"/>
                <w:b w:val="0"/>
                <w:bCs/>
                <w:i w:val="0"/>
                <w:color w:val="auto"/>
                <w:kern w:val="0"/>
                <w:sz w:val="21"/>
                <w:szCs w:val="21"/>
                <w:highlight w:val="none"/>
                <w:u w:val="none"/>
                <w:lang w:val="en-US" w:eastAsia="zh-CN"/>
              </w:rPr>
              <w:t>适用情形          （具有下列情形之一）</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highlight w:val="none"/>
                <w:u w:val="none"/>
                <w:lang w:val="en-US" w:eastAsia="zh-CN"/>
              </w:rPr>
            </w:pPr>
            <w:r>
              <w:rPr>
                <w:rFonts w:hint="eastAsia" w:ascii="黑体" w:hAnsi="黑体" w:eastAsia="黑体" w:cs="黑体"/>
                <w:b w:val="0"/>
                <w:bCs/>
                <w:i w:val="0"/>
                <w:color w:val="auto"/>
                <w:kern w:val="0"/>
                <w:sz w:val="21"/>
                <w:szCs w:val="21"/>
                <w:highlight w:val="none"/>
                <w:u w:val="none"/>
                <w:lang w:val="en-US" w:eastAsia="zh-CN"/>
              </w:rPr>
              <w:t>不予处罚法律依据</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5" w:hRule="atLeast"/>
          <w:tblHeader/>
          <w:jc w:val="center"/>
        </w:trPr>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right="0" w:rightChars="0" w:firstLine="210" w:firstLineChars="100"/>
              <w:jc w:val="left"/>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1</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i w:val="0"/>
                <w:iCs w:val="0"/>
                <w:color w:val="auto"/>
                <w:kern w:val="2"/>
                <w:sz w:val="21"/>
                <w:szCs w:val="21"/>
                <w:highlight w:val="none"/>
                <w:u w:val="none"/>
                <w:lang w:val="en-US" w:eastAsia="zh-CN"/>
              </w:rPr>
            </w:pPr>
            <w:r>
              <w:rPr>
                <w:rFonts w:hint="eastAsia" w:asciiTheme="minorEastAsia" w:hAnsiTheme="minorEastAsia" w:eastAsiaTheme="minorEastAsia" w:cstheme="minorEastAsia"/>
                <w:i w:val="0"/>
                <w:iCs w:val="0"/>
                <w:color w:val="auto"/>
                <w:kern w:val="0"/>
                <w:sz w:val="21"/>
                <w:szCs w:val="21"/>
                <w:highlight w:val="none"/>
                <w:u w:val="none"/>
                <w:lang w:val="en-US" w:eastAsia="zh-CN"/>
              </w:rPr>
              <w:t>生产经营单位未将事故风险的性质、影响范围和应急防范措施告知周边单位和人员的</w:t>
            </w:r>
            <w:r>
              <w:rPr>
                <w:rFonts w:hint="eastAsia" w:asciiTheme="minorEastAsia" w:hAnsiTheme="minorEastAsia" w:eastAsiaTheme="minorEastAsia" w:cstheme="minorEastAsia"/>
                <w:color w:val="auto"/>
                <w:sz w:val="21"/>
                <w:szCs w:val="21"/>
                <w:highlight w:val="none"/>
                <w:lang w:val="en-US" w:eastAsia="zh-CN"/>
              </w:rPr>
              <w:t>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《生产安全事故应急预案管理办法》第四十五条“生产经营单位有下列情形之一的，由县级以上人民政府应急管理部门责令限期改正，可以处1万元以上3万元以下罚款：</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（三）事故风险可能影响周边单位、人员的，未将事故风险的性质、影响范围和应急防范措施告知周边单位和人员的”</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i w:val="0"/>
                <w:iCs w:val="0"/>
                <w:color w:val="auto"/>
                <w:kern w:val="2"/>
                <w:sz w:val="21"/>
                <w:szCs w:val="21"/>
                <w:highlight w:val="none"/>
                <w:u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8" w:hRule="atLeast"/>
          <w:tblHeader/>
          <w:jc w:val="center"/>
        </w:trPr>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right="0" w:rightChars="0" w:firstLine="210" w:firstLineChars="100"/>
              <w:jc w:val="left"/>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2</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i w:val="0"/>
                <w:iCs w:val="0"/>
                <w:color w:val="auto"/>
                <w:kern w:val="0"/>
                <w:sz w:val="21"/>
                <w:szCs w:val="21"/>
                <w:highlight w:val="none"/>
                <w:u w:val="none"/>
                <w:lang w:val="en-US" w:eastAsia="zh-CN"/>
              </w:rPr>
              <w:t>生产经营单位未落实应急预案规定的应急物资及装备的</w:t>
            </w:r>
            <w:r>
              <w:rPr>
                <w:rFonts w:hint="eastAsia" w:asciiTheme="minorEastAsia" w:hAnsiTheme="minorEastAsia" w:eastAsiaTheme="minorEastAsia" w:cstheme="minorEastAsia"/>
                <w:color w:val="auto"/>
                <w:sz w:val="21"/>
                <w:szCs w:val="21"/>
                <w:highlight w:val="none"/>
                <w:lang w:val="en-US" w:eastAsia="zh-CN"/>
              </w:rPr>
              <w:t>处罚</w:t>
            </w:r>
            <w:r>
              <w:rPr>
                <w:rFonts w:hint="eastAsia" w:asciiTheme="minorEastAsia" w:hAnsiTheme="minorEastAsia" w:eastAsiaTheme="minorEastAsia" w:cstheme="minorEastAsia"/>
                <w:i w:val="0"/>
                <w:iCs w:val="0"/>
                <w:color w:val="auto"/>
                <w:kern w:val="0"/>
                <w:sz w:val="21"/>
                <w:szCs w:val="21"/>
                <w:highlight w:val="none"/>
                <w:u w:val="none"/>
                <w:lang w:val="en-US" w:eastAsia="zh-CN"/>
              </w:rPr>
              <w:t xml:space="preserve"> </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生产安全事故应急预案管理办法》第四十五条“生产经营单位有下列情形之一的，由县级以上人民政府应急管理部门责令限期改正，可以处1万元以上3万元以下罚款：（六）未落实应急预案规定的应急物资及装备的”</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i w:val="0"/>
                <w:iCs w:val="0"/>
                <w:color w:val="auto"/>
                <w:kern w:val="2"/>
                <w:sz w:val="21"/>
                <w:szCs w:val="21"/>
                <w:highlight w:val="none"/>
                <w:u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63" w:hRule="atLeast"/>
          <w:tblHeader/>
          <w:jc w:val="center"/>
        </w:trPr>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right="0" w:rightChars="0" w:firstLine="210" w:firstLineChars="100"/>
              <w:jc w:val="left"/>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3</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非煤矿矿山企业单位名称、主要负责人、单位地址、经济类型、许可范围发生变更，未按照规定申请、办理变更安全生产许可证的处罚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非煤矿矿山企业安全生产许可证实施办法》第二十一条“非煤矿矿山企业在安全生产许可证有效期内有下列情形之一的，应当自工商营业执照变更之日起30个工作日内向原安全生产许可证颁发管理机关申请变更安全生产许可证”；第四十四条第一款“非煤矿矿山企业在安全生产许可证有效期内，出现需要变更安全生产许可证的情形，未按本实施办法第二十一条的规定申请、办理变更手续的，责令限期办理变更手续，并处1万元以上3万元以下罚款”</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，逾期未申请变更，系初次违法；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b w:val="0"/>
                <w:bCs/>
                <w:color w:val="auto"/>
                <w:kern w:val="2"/>
                <w:sz w:val="21"/>
                <w:szCs w:val="21"/>
                <w:highlight w:val="none"/>
                <w:u w:val="none" w:color="auto"/>
                <w:lang w:val="en-US" w:eastAsia="zh-CN" w:bidi="ar-SA"/>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1" w:hRule="atLeast"/>
          <w:tblHeader/>
          <w:jc w:val="center"/>
        </w:trPr>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right="0" w:rightChars="0" w:firstLine="210" w:firstLineChars="100"/>
              <w:jc w:val="left"/>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4</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危险化学品生产企业在安全生产许可证有效期内主要负责人、企业名称、注册地址、隶属关系发生变更或者新增产品、改变工艺技术对企业安全生产产生重大影响，未按照规定的时限提出安全生产许可证变更申请的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危险化学品生产企业安全生产许可证实施办法》第三十条“企业在安全生产许可证有效期内变更主要负责人、企业名称或者注册地址的，应当自工商营业执照或者隶属关系变更之日起10个工作日内向实施机关提出变更申请”；第四十七条“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，逾期未申请变更，系初次违法；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p>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bidi="ar-SA"/>
              </w:rPr>
            </w:pP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6" w:hRule="atLeast"/>
          <w:tblHeader/>
          <w:jc w:val="center"/>
        </w:trPr>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right="0" w:rightChars="0" w:firstLine="210" w:firstLineChars="100"/>
              <w:jc w:val="left"/>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5</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危险化学品经营企业变更企业名称、主要负责人、注册地址或者危险化学品储存设施及其监控措施的，未按照规定的时限提出经营许可证变更申请的处罚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危险化学品经营许可证管理办法》第十四条“已经取得经营许可证的企业变更企业名称、主要负责人、注册地址或者危险化学品储存设施及其监控措施的，应当自变更之日起20个工作日内，向本办法第五条规定的发证机关提出书面变更申请”；第十六条“企业有新建、改建、扩建危险化学品储存设施建设项目的，应当自建设项目安全设施竣工验收合格之日起20个工作日内，向本办法第五条规定的发证机关提出变更申请”；第三十三条“已经取得经营许可证的企业出现本办法第十四条、第十六条规定的情形之一，未依照本办法的规定申请变更的，责令限期改正，处1万元以下的罚款；逾期仍不申请变更的，处1万元以上3万元以下的罚款”。</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，逾期未申请变更，系初次违法；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kern w:val="2"/>
                <w:sz w:val="21"/>
                <w:szCs w:val="21"/>
                <w:highlight w:val="none"/>
                <w:lang w:val="en-US" w:eastAsia="zh-CN" w:bidi="ar-SA"/>
              </w:rPr>
            </w:pP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jc w:val="center"/>
        </w:trPr>
        <w:tc>
          <w:tcPr>
            <w:tcW w:w="65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right="0" w:rightChars="0" w:firstLine="210" w:firstLineChars="100"/>
              <w:jc w:val="left"/>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6</w:t>
            </w:r>
          </w:p>
        </w:tc>
        <w:tc>
          <w:tcPr>
            <w:tcW w:w="16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化学品生产、进口单位未按照《化学品物理危险性鉴定与分类管理办法》规定建立化学品物理危险性鉴定与分类管理档案的处罚</w:t>
            </w:r>
          </w:p>
        </w:tc>
        <w:tc>
          <w:tcPr>
            <w:tcW w:w="47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《化学品物理危险性鉴定与分类管理办法》第十九条“化学品单位有下列情形之一的，由安全生产监督管理部门责令限期改正，可以处1万元以下的罚款；拒不改正的，处1万元以上3万元以下的罚款： （二）未按照本办法规定建立化学品物理危险性鉴定与分类管理档案的”</w:t>
            </w:r>
          </w:p>
        </w:tc>
        <w:tc>
          <w:tcPr>
            <w:tcW w:w="222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highlight w:val="none"/>
                <w:lang w:val="en-US" w:eastAsia="zh-CN" w:bidi="ar-SA"/>
              </w:rPr>
            </w:pPr>
          </w:p>
        </w:tc>
        <w:tc>
          <w:tcPr>
            <w:tcW w:w="386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jc w:val="center"/>
        </w:trPr>
        <w:tc>
          <w:tcPr>
            <w:tcW w:w="6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210" w:firstLineChars="100"/>
              <w:jc w:val="left"/>
              <w:textAlignment w:val="center"/>
              <w:rPr>
                <w:rFonts w:hint="default" w:asciiTheme="minorEastAsia" w:hAnsiTheme="minorEastAsia" w:eastAsiaTheme="minorEastAsia" w:cstheme="minorEastAsia"/>
                <w:i w:val="0"/>
                <w:iCs w:val="0"/>
                <w:color w:val="auto"/>
                <w:kern w:val="2"/>
                <w:sz w:val="21"/>
                <w:szCs w:val="21"/>
                <w:u w:val="none"/>
                <w:lang w:val="en-US" w:eastAsia="zh-CN" w:bidi="ar-SA"/>
              </w:rPr>
            </w:pPr>
            <w:bookmarkStart w:id="0" w:name="_GoBack"/>
            <w:bookmarkEnd w:id="0"/>
            <w:r>
              <w:rPr>
                <w:rFonts w:hint="eastAsia" w:asciiTheme="minorEastAsia" w:hAnsiTheme="minorEastAsia" w:cstheme="minorEastAsia"/>
                <w:i w:val="0"/>
                <w:iCs w:val="0"/>
                <w:color w:val="auto"/>
                <w:kern w:val="0"/>
                <w:sz w:val="21"/>
                <w:szCs w:val="21"/>
                <w:u w:val="none"/>
                <w:lang w:val="en-US" w:eastAsia="zh-CN" w:bidi="ar"/>
              </w:rPr>
              <w:t>7</w:t>
            </w:r>
          </w:p>
        </w:tc>
        <w:tc>
          <w:tcPr>
            <w:tcW w:w="164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对生产经营单位的安全生产管理人员未提出改进安全生产管理的建议的处罚</w:t>
            </w:r>
          </w:p>
        </w:tc>
        <w:tc>
          <w:tcPr>
            <w:tcW w:w="47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 xml:space="preserve">《中华人民共和国安全生产法》第二十五条第一款第五项：生产经营单位的安全生产管理机构以及安全生产管理人员履行下列职责:（五）检查本单位的安全生产状况，及时排查生产安全事故隐患，提出改进安全生产管理的建议；   </w:t>
            </w:r>
            <w:r>
              <w:rPr>
                <w:rFonts w:hint="eastAsia" w:asciiTheme="minorEastAsia" w:hAnsiTheme="minorEastAsia" w:cstheme="minorEastAsia"/>
                <w:i w:val="0"/>
                <w:iCs w:val="0"/>
                <w:color w:val="auto"/>
                <w:kern w:val="0"/>
                <w:sz w:val="21"/>
                <w:szCs w:val="21"/>
                <w:u w:val="none"/>
                <w:lang w:val="en-US" w:eastAsia="zh-CN" w:bidi="ar"/>
              </w:rPr>
              <w:t xml:space="preserve">                </w:t>
            </w:r>
            <w:r>
              <w:rPr>
                <w:rFonts w:hint="eastAsia" w:asciiTheme="minorEastAsia" w:hAnsiTheme="minorEastAsia" w:eastAsiaTheme="minorEastAsia" w:cstheme="minorEastAsia"/>
                <w:i w:val="0"/>
                <w:iCs w:val="0"/>
                <w:color w:val="auto"/>
                <w:kern w:val="0"/>
                <w:sz w:val="21"/>
                <w:szCs w:val="21"/>
                <w:u w:val="none"/>
                <w:lang w:val="en-US" w:eastAsia="zh-CN" w:bidi="ar"/>
              </w:rPr>
              <w:t xml:space="preserve">           </w:t>
            </w:r>
            <w:r>
              <w:rPr>
                <w:rFonts w:hint="eastAsia" w:asciiTheme="minorEastAsia" w:hAnsiTheme="minorEastAsia" w:cstheme="minorEastAsia"/>
                <w:i w:val="0"/>
                <w:iCs w:val="0"/>
                <w:color w:val="auto"/>
                <w:kern w:val="0"/>
                <w:sz w:val="21"/>
                <w:szCs w:val="21"/>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22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cstheme="minorEastAsia"/>
                <w:i w:val="0"/>
                <w:iCs w:val="0"/>
                <w:color w:val="auto"/>
                <w:kern w:val="0"/>
                <w:sz w:val="21"/>
                <w:szCs w:val="21"/>
                <w:u w:val="none"/>
                <w:lang w:val="en-US" w:eastAsia="zh-CN" w:bidi="ar"/>
              </w:rPr>
              <w:t>属非高危行业，</w:t>
            </w:r>
            <w:r>
              <w:rPr>
                <w:rFonts w:hint="eastAsia" w:asciiTheme="minorEastAsia" w:hAnsiTheme="minorEastAsia" w:eastAsiaTheme="minorEastAsia" w:cstheme="minorEastAsia"/>
                <w:color w:val="auto"/>
                <w:sz w:val="21"/>
                <w:szCs w:val="21"/>
                <w:highlight w:val="none"/>
                <w:lang w:val="en-US" w:eastAsia="zh-CN"/>
              </w:rPr>
              <w:t>系初次违法；</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cstheme="minorEastAsia"/>
                <w:i w:val="0"/>
                <w:iCs w:val="0"/>
                <w:color w:val="auto"/>
                <w:kern w:val="0"/>
                <w:sz w:val="21"/>
                <w:szCs w:val="21"/>
                <w:u w:val="none"/>
                <w:lang w:val="en-US" w:eastAsia="zh-CN" w:bidi="ar"/>
              </w:rPr>
              <w:t>2.</w:t>
            </w:r>
            <w:r>
              <w:rPr>
                <w:rFonts w:hint="eastAsia" w:asciiTheme="minorEastAsia" w:hAnsiTheme="minorEastAsia" w:eastAsiaTheme="minorEastAsia" w:cstheme="minorEastAsia"/>
                <w:i w:val="0"/>
                <w:iCs w:val="0"/>
                <w:color w:val="auto"/>
                <w:kern w:val="0"/>
                <w:sz w:val="21"/>
                <w:szCs w:val="21"/>
                <w:u w:val="none"/>
                <w:lang w:val="en-US" w:eastAsia="zh-CN" w:bidi="ar"/>
              </w:rPr>
              <w:t>有证据证明已按规定检查本单位的安全生产状况，及时排查生产安全事故隐患，但未提出改进安全生产管理的建议或者三次以上提出合理化建议而未被采纳的。经责令限期改正后及时改正,没有造成危害后果的。</w:t>
            </w: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bl>
    <w:p>
      <w:pPr>
        <w:pStyle w:val="6"/>
        <w:ind w:left="0" w:leftChars="0" w:firstLine="228" w:firstLineChars="100"/>
        <w:rPr>
          <w:rFonts w:hint="eastAsia" w:asciiTheme="minorEastAsia" w:hAnsiTheme="minorEastAsia" w:eastAsiaTheme="minorEastAsia" w:cstheme="minorEastAsia"/>
          <w:i w:val="0"/>
          <w:iCs w:val="0"/>
          <w:color w:val="000000"/>
          <w:kern w:val="0"/>
          <w:sz w:val="24"/>
          <w:szCs w:val="24"/>
          <w:u w:val="none"/>
          <w:lang w:val="en-US" w:eastAsia="zh-CN" w:bidi="ar"/>
        </w:rPr>
      </w:pPr>
    </w:p>
    <w:p>
      <w:pPr>
        <w:pStyle w:val="6"/>
        <w:ind w:left="0" w:leftChars="0" w:firstLine="228" w:firstLineChars="100"/>
        <w:rPr>
          <w:rFonts w:hint="eastAsia" w:ascii="方正小标宋简体" w:hAnsi="方正小标宋简体" w:eastAsia="方正小标宋简体" w:cs="方正小标宋简体"/>
          <w:color w:val="auto"/>
          <w:sz w:val="44"/>
          <w:szCs w:val="44"/>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说明：非高危生产经营单位是指除矿山、金属冶炼、建筑施工、道路运输单位和危险物品的生产、经营、储存、装卸单位以外的生产经营单位。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二、从轻行政处罚事项清单</w:t>
      </w:r>
    </w:p>
    <w:tbl>
      <w:tblPr>
        <w:tblStyle w:val="7"/>
        <w:tblW w:w="146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62"/>
        <w:gridCol w:w="1777"/>
        <w:gridCol w:w="5052"/>
        <w:gridCol w:w="2196"/>
        <w:gridCol w:w="3480"/>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5"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u w:val="none"/>
                <w:lang w:val="en-US" w:eastAsia="zh-CN"/>
              </w:rPr>
            </w:pPr>
            <w:r>
              <w:rPr>
                <w:rFonts w:hint="eastAsia" w:ascii="黑体" w:hAnsi="黑体" w:eastAsia="黑体" w:cs="黑体"/>
                <w:b w:val="0"/>
                <w:bCs/>
                <w:i w:val="0"/>
                <w:color w:val="auto"/>
                <w:kern w:val="0"/>
                <w:sz w:val="21"/>
                <w:szCs w:val="21"/>
                <w:u w:val="none"/>
                <w:lang w:val="en-US" w:eastAsia="zh-CN"/>
              </w:rPr>
              <w:t>序</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号</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行政处罚事项</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设定法律依据</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kern w:val="2"/>
                <w:sz w:val="21"/>
                <w:szCs w:val="21"/>
                <w:u w:val="none"/>
                <w:lang w:val="en-US" w:eastAsia="zh-CN" w:bidi="ar-SA"/>
              </w:rPr>
            </w:pPr>
            <w:r>
              <w:rPr>
                <w:rFonts w:hint="eastAsia" w:ascii="黑体" w:hAnsi="黑体" w:eastAsia="黑体" w:cs="黑体"/>
                <w:b w:val="0"/>
                <w:bCs/>
                <w:i w:val="0"/>
                <w:color w:val="auto"/>
                <w:kern w:val="0"/>
                <w:sz w:val="21"/>
                <w:szCs w:val="21"/>
                <w:u w:val="none"/>
                <w:lang w:val="en-US" w:eastAsia="zh-CN"/>
              </w:rPr>
              <w:t>适用情形</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u w:val="none"/>
                <w:lang w:val="en-US" w:eastAsia="zh-CN"/>
              </w:rPr>
            </w:pPr>
            <w:r>
              <w:rPr>
                <w:rFonts w:hint="eastAsia" w:ascii="黑体" w:hAnsi="黑体" w:eastAsia="黑体" w:cs="黑体"/>
                <w:b w:val="0"/>
                <w:bCs/>
                <w:i w:val="0"/>
                <w:color w:val="auto"/>
                <w:kern w:val="0"/>
                <w:sz w:val="21"/>
                <w:szCs w:val="21"/>
                <w:u w:val="none"/>
                <w:lang w:val="en-US" w:eastAsia="zh-CN"/>
              </w:rPr>
              <w:t>从轻处罚法律依据</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1</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对生产经营单位未如实记录安全生产教育和培训情况的</w:t>
            </w:r>
            <w:r>
              <w:rPr>
                <w:rFonts w:hint="eastAsia" w:asciiTheme="minorEastAsia" w:hAnsiTheme="minorEastAsia" w:eastAsiaTheme="minorEastAsia" w:cstheme="minorEastAsia"/>
                <w:color w:val="auto"/>
                <w:sz w:val="21"/>
                <w:szCs w:val="21"/>
                <w:lang w:val="en-US" w:eastAsia="zh-CN"/>
              </w:rPr>
              <w:t>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r>
              <w:rPr>
                <w:rFonts w:hint="eastAsia" w:asciiTheme="minorEastAsia" w:hAnsiTheme="minorEastAsia" w:eastAsiaTheme="minorEastAsia" w:cstheme="minorEastAsia"/>
                <w:color w:val="auto"/>
                <w:sz w:val="21"/>
                <w:szCs w:val="21"/>
                <w:lang w:val="en-US" w:eastAsia="zh-CN"/>
              </w:rPr>
              <w:t>中华人民共和国</w:t>
            </w:r>
            <w:r>
              <w:rPr>
                <w:rFonts w:hint="eastAsia" w:asciiTheme="minorEastAsia" w:hAnsiTheme="minorEastAsia" w:eastAsiaTheme="minorEastAsia" w:cstheme="minorEastAsia"/>
                <w:color w:val="auto"/>
                <w:kern w:val="2"/>
                <w:sz w:val="21"/>
                <w:szCs w:val="21"/>
                <w:lang w:val="en-US" w:eastAsia="zh-CN"/>
              </w:rPr>
              <w:t>安全生产法》第九十七</w:t>
            </w:r>
            <w:r>
              <w:rPr>
                <w:rFonts w:hint="eastAsia" w:asciiTheme="minorEastAsia" w:hAnsiTheme="minorEastAsia" w:eastAsiaTheme="minorEastAsia" w:cstheme="minorEastAsia"/>
                <w:color w:val="auto"/>
                <w:sz w:val="21"/>
                <w:szCs w:val="21"/>
                <w:lang w:val="en-US" w:eastAsia="zh-CN"/>
              </w:rPr>
              <w:t>条第四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，主动消除违法行为危害后果，且在限期内改正的。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7"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2</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对生产经营单位未按照规定制定生产安全事故应急救援预案或者未定期组织演练的处罚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中华人民共和国安全生产法》第九十七条第六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，主动消除违法行为危害后果，且在限期内改正的。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8"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3</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对生产经营单位未建立安全风险分级管控制度或者未按照安全风险分级采取相应管控措施的处罚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中华人民共和国安全生产法》第一百零一条第四项“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安全风险分级管控制度或者未按照安全风险分级采取相应管控措施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7"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4</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对两个以上生产经营单位在同一作业区域内进行可能危及对方安全生产的生产经营活动，未签订安全生产管理协议或者未指定专职安全生产管理人员进行安全检查与协调的处罚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w:t>
            </w:r>
            <w:r>
              <w:rPr>
                <w:rFonts w:hint="eastAsia" w:asciiTheme="minorEastAsia" w:hAnsiTheme="minorEastAsia" w:eastAsiaTheme="minorEastAsia" w:cstheme="minorEastAsia"/>
                <w:color w:val="auto"/>
                <w:sz w:val="21"/>
                <w:szCs w:val="21"/>
                <w:lang w:val="en-US" w:eastAsia="zh-CN"/>
              </w:rPr>
              <w:t>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4"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5</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对生产、经营、储存、使用危险物品的车间、商店、仓库与员工宿舍在同一座建筑内，或者与员工宿舍的距离不符合安全要求的处罚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bCs/>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r>
              <w:rPr>
                <w:rFonts w:hint="eastAsia" w:asciiTheme="minorEastAsia" w:hAnsiTheme="minorEastAsia" w:eastAsiaTheme="minorEastAsia" w:cstheme="minorEastAsia"/>
                <w:color w:val="auto"/>
                <w:sz w:val="21"/>
                <w:szCs w:val="21"/>
                <w:lang w:val="en-US" w:eastAsia="zh-CN"/>
              </w:rPr>
              <w:t>中华人民共和国安全生产法》第一百零五条第一项“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 xml:space="preserve">，主动消除违法行为后果，且在限期内改正的。   </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9"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6</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对生产、经营、运输、储存、使用危险物品或者处置废弃危险物品，未建立专门安全管理制度、未采取可靠的安全措施的处罚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w:t>
            </w:r>
            <w:r>
              <w:rPr>
                <w:rFonts w:hint="eastAsia" w:asciiTheme="minorEastAsia" w:hAnsiTheme="minorEastAsia" w:eastAsiaTheme="minorEastAsia" w:cstheme="minorEastAsia"/>
                <w:color w:val="auto"/>
                <w:sz w:val="21"/>
                <w:szCs w:val="21"/>
                <w:lang w:val="en-US" w:eastAsia="zh-CN"/>
              </w:rPr>
              <w:t>中华人民共和国安全生产法》第一百零一条第一项“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8"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7</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对未对安全设备进行经常性维护、保养和定期检测的处罚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中华人民共和国安全生产法》第九十九条第三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bidi="ar-SA"/>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8"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8</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对未为从业人员提供符合国家标准或者行业标准的劳动防护用品的处罚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中华人民共和国安全生产法》第九十九条第五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bidi="ar-SA"/>
              </w:rPr>
            </w:pPr>
            <w:r>
              <w:rPr>
                <w:rFonts w:hint="eastAsia" w:asciiTheme="minorEastAsia" w:hAnsiTheme="minorEastAsia" w:eastAsiaTheme="minorEastAsia" w:cstheme="minorEastAsia"/>
                <w:color w:val="auto"/>
                <w:sz w:val="21"/>
                <w:szCs w:val="21"/>
                <w:lang w:val="en-US" w:eastAsia="zh-CN"/>
              </w:rPr>
              <w:t>3.加强日常监督管理。</w:t>
            </w:r>
          </w:p>
        </w:tc>
      </w:tr>
    </w:tbl>
    <w:p>
      <w:pPr>
        <w:pStyle w:val="6"/>
        <w:ind w:left="0" w:leftChars="0" w:firstLine="0" w:firstLineChars="0"/>
      </w:pPr>
    </w:p>
    <w:p>
      <w:pPr>
        <w:pStyle w:val="6"/>
        <w:ind w:left="0" w:leftChars="0" w:firstLine="0" w:firstLineChars="0"/>
      </w:pPr>
      <w:r>
        <w:rPr>
          <w:rFonts w:hint="eastAsia" w:asciiTheme="minorEastAsia" w:hAnsiTheme="minorEastAsia" w:eastAsiaTheme="minorEastAsia" w:cstheme="minorEastAsia"/>
          <w:i w:val="0"/>
          <w:iCs w:val="0"/>
          <w:color w:val="000000"/>
          <w:kern w:val="0"/>
          <w:sz w:val="24"/>
          <w:szCs w:val="24"/>
          <w:u w:val="none"/>
          <w:lang w:val="en-US" w:eastAsia="zh-CN" w:bidi="ar"/>
        </w:rPr>
        <w:t>说明：非高危生产经营单位是指除矿山、金属冶炼、建筑施工、道路运输单位和危险物品的生产、经营、储存、装卸单位以外的生产经营单位。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三、减轻行政处罚事项清单</w:t>
      </w:r>
    </w:p>
    <w:tbl>
      <w:tblPr>
        <w:tblStyle w:val="7"/>
        <w:tblW w:w="146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13"/>
        <w:gridCol w:w="1800"/>
        <w:gridCol w:w="4989"/>
        <w:gridCol w:w="2208"/>
        <w:gridCol w:w="3288"/>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8"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u w:val="none"/>
                <w:lang w:val="en-US" w:eastAsia="zh-CN"/>
              </w:rPr>
            </w:pPr>
            <w:r>
              <w:rPr>
                <w:rFonts w:hint="eastAsia" w:ascii="黑体" w:hAnsi="黑体" w:eastAsia="黑体" w:cs="黑体"/>
                <w:b w:val="0"/>
                <w:bCs/>
                <w:i w:val="0"/>
                <w:color w:val="auto"/>
                <w:kern w:val="0"/>
                <w:sz w:val="21"/>
                <w:szCs w:val="21"/>
                <w:u w:val="none"/>
                <w:lang w:val="en-US" w:eastAsia="zh-CN"/>
              </w:rPr>
              <w:t>序</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号</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行政处罚事项</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设定法律依据</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kern w:val="2"/>
                <w:sz w:val="21"/>
                <w:szCs w:val="21"/>
                <w:u w:val="none"/>
                <w:lang w:val="en-US" w:eastAsia="zh-CN" w:bidi="ar-SA"/>
              </w:rPr>
            </w:pPr>
            <w:r>
              <w:rPr>
                <w:rFonts w:hint="eastAsia" w:ascii="黑体" w:hAnsi="黑体" w:eastAsia="黑体" w:cs="黑体"/>
                <w:b w:val="0"/>
                <w:bCs/>
                <w:i w:val="0"/>
                <w:color w:val="auto"/>
                <w:kern w:val="0"/>
                <w:sz w:val="21"/>
                <w:szCs w:val="21"/>
                <w:u w:val="none"/>
                <w:lang w:val="en-US" w:eastAsia="zh-CN"/>
              </w:rPr>
              <w:t>适用情形</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u w:val="none"/>
                <w:lang w:val="en-US" w:eastAsia="zh-CN"/>
              </w:rPr>
            </w:pPr>
            <w:r>
              <w:rPr>
                <w:rFonts w:hint="eastAsia" w:ascii="黑体" w:hAnsi="黑体" w:eastAsia="黑体" w:cs="黑体"/>
                <w:b w:val="0"/>
                <w:bCs/>
                <w:i w:val="0"/>
                <w:color w:val="auto"/>
                <w:kern w:val="0"/>
                <w:sz w:val="21"/>
                <w:szCs w:val="21"/>
                <w:u w:val="none"/>
                <w:lang w:val="en-US" w:eastAsia="zh-CN"/>
              </w:rPr>
              <w:t>减轻处罚法律依据</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7"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1</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rPr>
              <w:t>生产经营单位未按照规定开展应急预案评估的</w:t>
            </w:r>
            <w:r>
              <w:rPr>
                <w:rFonts w:hint="eastAsia" w:asciiTheme="minorEastAsia" w:hAnsiTheme="minorEastAsia" w:eastAsiaTheme="minorEastAsia" w:cstheme="minorEastAsia"/>
                <w:color w:val="auto"/>
                <w:sz w:val="21"/>
                <w:szCs w:val="21"/>
                <w:lang w:val="en-US" w:eastAsia="zh-CN"/>
              </w:rPr>
              <w:t>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《生产安全事故应急预案管理办法》第四十五条“生产经营单位有下列情形之一的，由县级以上人民政府应急管理部门责令限期改正，可以处1万元以上3万元以下罚款：（四）未按照规定开展应急预案评估的”</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firstLine="420" w:firstLineChars="200"/>
              <w:jc w:val="left"/>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，主动减轻违法行为后果，且在限期内改正的。</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2.《中华人民共和国行政处罚法》第三十二条第一项当事人有下列情形之一，应当从轻或者减轻行政处罚：</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（一）</w:t>
            </w:r>
            <w:r>
              <w:rPr>
                <w:rFonts w:hint="eastAsia" w:asciiTheme="minorEastAsia" w:hAnsiTheme="minorEastAsia" w:eastAsiaTheme="minorEastAsia" w:cstheme="minorEastAsia"/>
                <w:color w:val="auto"/>
                <w:sz w:val="21"/>
                <w:szCs w:val="21"/>
                <w:lang w:val="en-US" w:eastAsia="zh-CN"/>
              </w:rPr>
              <w:t>主动消除或者减轻违法行为危害后果的</w:t>
            </w:r>
            <w:r>
              <w:rPr>
                <w:rFonts w:hint="eastAsia" w:asciiTheme="minorEastAsia" w:hAnsiTheme="minorEastAsia" w:cstheme="minorEastAsia"/>
                <w:color w:val="auto"/>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kern w:val="1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9"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对从业人员进行安全培训期间未支付工资并承担安全培训费用的处罚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生产经营单位安全培训规定》第二十九条第二项“生产经营单位有下列行为之一的，由安全生产监管监察部门责令其限期改正，可以处1万元以上3万元以下的罚款：（二）从业人员进行安全培训期间未支付工资并承担安全培训费用的”</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firstLine="420" w:firstLineChars="200"/>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《中华人民共和国行政处罚法》第三十二条第一项、三项。当事人有下列情形之一，应当从轻或者减轻行政处罚：</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rPr>
                <w:rFonts w:hint="eastAsia" w:asciiTheme="minorEastAsia" w:hAnsiTheme="minorEastAsia" w:eastAsiaTheme="minorEastAsia" w:cstheme="minorEastAsia"/>
                <w:snapToGrid w:val="0"/>
                <w:color w:val="auto"/>
                <w:kern w:val="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3</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安全设备的安装、使用、检测、改造和报废不符合国家标准或者行业标准的处罚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安全生产法》第九十九条第二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firstLine="420" w:firstLineChars="200"/>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《中华人民共和国行政处罚法》第三十二条第一项、三项。当事人有下列情形之一，应当从轻或者减轻行政处罚：</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0"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4</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对安全评价报告存在法规标准引用错误、关键危险有害因素漏项、重大危险源辨识错误、对策措施建议与存在问题严重不符等重大疏漏，但尚未造成重大损失的处罚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left"/>
              <w:textAlignment w:val="auto"/>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《安全评价检测检验机构管理办法》第三十条第十项“安全评价检测检验机构有下列情形之一的，责令改正或者责令限期改正，给予</w:t>
            </w:r>
            <w:r>
              <w:rPr>
                <w:rFonts w:hint="eastAsia" w:asciiTheme="minorEastAsia" w:hAnsiTheme="minorEastAsia" w:eastAsiaTheme="minorEastAsia" w:cstheme="minorEastAsia"/>
                <w:snapToGrid w:val="0"/>
                <w:color w:val="auto"/>
                <w:kern w:val="0"/>
                <w:sz w:val="21"/>
                <w:szCs w:val="21"/>
                <w:u w:val="none"/>
                <w:lang w:val="en-US" w:eastAsia="zh-CN"/>
              </w:rPr>
              <w:t>警告，可以并处一万</w:t>
            </w:r>
            <w:r>
              <w:rPr>
                <w:rFonts w:hint="eastAsia" w:asciiTheme="minorEastAsia" w:hAnsiTheme="minorEastAsia" w:eastAsiaTheme="minorEastAsia" w:cstheme="minorEastAsia"/>
                <w:snapToGrid w:val="0"/>
                <w:color w:val="auto"/>
                <w:kern w:val="0"/>
                <w:sz w:val="21"/>
                <w:szCs w:val="21"/>
                <w:lang w:val="en-US" w:eastAsia="zh-CN"/>
              </w:rPr>
              <w:t>元以下的罚款；逾期未改正的，处一万元以上三万元以下的罚款，对相关责任人处一千元以上五千元以下的罚款；情节严重的，处一万元以上三万元以下的罚款，对相关责任人处五千元以上一万元以下的罚款：（十）安全评价报告存在法规标准引用错误、关键危险有害因素漏项、重大危险源辨识错误、对策措施建议与存在问题严重不符等重大疏漏，但尚未造成重大损失的”</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firstLine="420" w:firstLineChars="200"/>
              <w:jc w:val="left"/>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bidi="ar-SA"/>
              </w:rPr>
            </w:pP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left"/>
              <w:textAlignment w:val="auto"/>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《中华人民共和国行政处罚法》第三十二条第一项、三项。当事人有下列情形之一，应当从轻或者减轻行政处罚：</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left"/>
              <w:textAlignment w:val="auto"/>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left"/>
              <w:textAlignment w:val="auto"/>
              <w:outlineLvl w:val="9"/>
              <w:rPr>
                <w:rFonts w:hint="eastAsia" w:asciiTheme="minorEastAsia" w:hAnsiTheme="minorEastAsia" w:eastAsiaTheme="minorEastAsia" w:cstheme="minorEastAsia"/>
                <w:snapToGrid w:val="0"/>
                <w:color w:val="auto"/>
                <w:kern w:val="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5"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5</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对安全生产检测检验报告存在法规标准引用错误、关键项目漏检、结论不明确等重大疏漏，但尚未造成重大损失的处罚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《安全评价检测检验机构管理办法》第三十条第十一项“安全评价检测检验机构有下列情形之一的，责令改正或者责令限期改正，给予警告</w:t>
            </w:r>
            <w:r>
              <w:rPr>
                <w:rFonts w:hint="eastAsia" w:asciiTheme="minorEastAsia" w:hAnsiTheme="minorEastAsia" w:eastAsiaTheme="minorEastAsia" w:cstheme="minorEastAsia"/>
                <w:snapToGrid w:val="0"/>
                <w:color w:val="auto"/>
                <w:kern w:val="0"/>
                <w:sz w:val="21"/>
                <w:szCs w:val="21"/>
                <w:u w:val="none"/>
                <w:lang w:val="en-US" w:eastAsia="zh-CN"/>
              </w:rPr>
              <w:t>，可以并处一万元以下的罚款；逾期未改正的，处一万元以上三万</w:t>
            </w:r>
            <w:r>
              <w:rPr>
                <w:rFonts w:hint="eastAsia" w:asciiTheme="minorEastAsia" w:hAnsiTheme="minorEastAsia" w:eastAsiaTheme="minorEastAsia" w:cstheme="minorEastAsia"/>
                <w:snapToGrid w:val="0"/>
                <w:color w:val="auto"/>
                <w:kern w:val="0"/>
                <w:sz w:val="21"/>
                <w:szCs w:val="21"/>
                <w:lang w:val="en-US" w:eastAsia="zh-CN"/>
              </w:rPr>
              <w:t>元以下的罚款，对相关责任人处一千元以上五千元以下的罚款；情节严重的，处一万元以上三万元以下的罚款，对相关责任人处五千元以上一万元以下的罚款：（十一）安全生产检测检验报告存在法规标准引用错误、关键项目漏检、结论不明确等重大疏漏，但尚未造成重大损失的”</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firstLine="420" w:firstLineChars="200"/>
              <w:jc w:val="left"/>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p>
            <w:pPr>
              <w:keepNext w:val="0"/>
              <w:keepLines w:val="0"/>
              <w:pageBreakBefore w:val="0"/>
              <w:kinsoku/>
              <w:wordWrap/>
              <w:overflowPunct/>
              <w:topLinePunct w:val="0"/>
              <w:autoSpaceDE/>
              <w:autoSpaceDN/>
              <w:bidi w:val="0"/>
              <w:adjustRightInd w:val="0"/>
              <w:snapToGrid w:val="0"/>
              <w:spacing w:line="240" w:lineRule="exact"/>
              <w:ind w:firstLine="420" w:firstLineChars="200"/>
              <w:jc w:val="left"/>
              <w:rPr>
                <w:rFonts w:hint="eastAsia" w:asciiTheme="minorEastAsia" w:hAnsiTheme="minorEastAsia" w:eastAsiaTheme="minorEastAsia" w:cstheme="minorEastAsia"/>
                <w:snapToGrid w:val="0"/>
                <w:color w:val="auto"/>
                <w:kern w:val="0"/>
                <w:sz w:val="21"/>
                <w:szCs w:val="21"/>
              </w:rPr>
            </w:pP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bidi="ar-SA"/>
              </w:rPr>
            </w:pP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《中华人民共和国行政处罚法》第三十二条第一项、三项。当事人有下列情形之一，应当从轻或者减轻行政处罚：</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仿宋_GB2312" w:hAnsi="仿宋_GB2312" w:eastAsia="仿宋_GB2312" w:cs="仿宋_GB2312"/>
          <w:b/>
          <w:bCs/>
          <w:color w:val="333333"/>
          <w:sz w:val="32"/>
          <w:szCs w:val="32"/>
          <w:lang w:val="en-US" w:eastAsia="zh-CN"/>
        </w:rPr>
      </w:pPr>
    </w:p>
    <w:sectPr>
      <w:pgSz w:w="16838" w:h="11906" w:orient="landscape"/>
      <w:pgMar w:top="1463" w:right="1157" w:bottom="1576"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3ZTQxODU2Nzc3OGQ1MTNkOGRiODI3MDk1NDJhNTEifQ=="/>
  </w:docVars>
  <w:rsids>
    <w:rsidRoot w:val="595F7A88"/>
    <w:rsid w:val="00950240"/>
    <w:rsid w:val="0369472B"/>
    <w:rsid w:val="03C055D4"/>
    <w:rsid w:val="03D7019B"/>
    <w:rsid w:val="04E225CF"/>
    <w:rsid w:val="06654CB8"/>
    <w:rsid w:val="06813F88"/>
    <w:rsid w:val="07547745"/>
    <w:rsid w:val="075C6BB6"/>
    <w:rsid w:val="0AB22807"/>
    <w:rsid w:val="0B136931"/>
    <w:rsid w:val="0B361C2B"/>
    <w:rsid w:val="0B852B4C"/>
    <w:rsid w:val="0EAE1581"/>
    <w:rsid w:val="14186D67"/>
    <w:rsid w:val="141B6BFE"/>
    <w:rsid w:val="163810C2"/>
    <w:rsid w:val="18063ECA"/>
    <w:rsid w:val="1816516F"/>
    <w:rsid w:val="19D01E27"/>
    <w:rsid w:val="1F5A0233"/>
    <w:rsid w:val="206F77A2"/>
    <w:rsid w:val="217824D6"/>
    <w:rsid w:val="22AB3C75"/>
    <w:rsid w:val="2B4C2C8F"/>
    <w:rsid w:val="2CE81574"/>
    <w:rsid w:val="2DE7182C"/>
    <w:rsid w:val="2E3031D3"/>
    <w:rsid w:val="31365530"/>
    <w:rsid w:val="31B859B9"/>
    <w:rsid w:val="32307650"/>
    <w:rsid w:val="35820EC3"/>
    <w:rsid w:val="37E07E5C"/>
    <w:rsid w:val="3B854432"/>
    <w:rsid w:val="3E6350CC"/>
    <w:rsid w:val="3ED6747E"/>
    <w:rsid w:val="44F86B12"/>
    <w:rsid w:val="474E6020"/>
    <w:rsid w:val="493E078A"/>
    <w:rsid w:val="4E4F6905"/>
    <w:rsid w:val="4F3F0D8D"/>
    <w:rsid w:val="51C70EA9"/>
    <w:rsid w:val="5268268C"/>
    <w:rsid w:val="562973F5"/>
    <w:rsid w:val="585F25BE"/>
    <w:rsid w:val="59197BAF"/>
    <w:rsid w:val="595F7A88"/>
    <w:rsid w:val="5C4F21C6"/>
    <w:rsid w:val="6045400C"/>
    <w:rsid w:val="644C3BBB"/>
    <w:rsid w:val="65C77271"/>
    <w:rsid w:val="65E9368C"/>
    <w:rsid w:val="65F77B57"/>
    <w:rsid w:val="679374D7"/>
    <w:rsid w:val="684E77D6"/>
    <w:rsid w:val="69C11996"/>
    <w:rsid w:val="6B252A70"/>
    <w:rsid w:val="6C060AF4"/>
    <w:rsid w:val="71145A61"/>
    <w:rsid w:val="75DC54BF"/>
    <w:rsid w:val="770C5AE6"/>
    <w:rsid w:val="774C58CD"/>
    <w:rsid w:val="78B813C8"/>
    <w:rsid w:val="79A90D10"/>
    <w:rsid w:val="7C1D794B"/>
    <w:rsid w:val="7D912CAD"/>
    <w:rsid w:val="7ECA14C8"/>
    <w:rsid w:val="7FD66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spacing w:line="240" w:lineRule="atLeast"/>
      <w:ind w:firstLine="420" w:firstLineChars="200"/>
    </w:pPr>
    <w:rPr>
      <w:rFonts w:ascii="Calibri" w:hAnsi="Calibri" w:eastAsia="仿宋" w:cs="Times New Roman"/>
      <w:spacing w:val="-6"/>
      <w:sz w:val="32"/>
      <w:szCs w:val="20"/>
    </w:rPr>
  </w:style>
  <w:style w:type="paragraph" w:styleId="4">
    <w:name w:val="Body Text Indent"/>
    <w:basedOn w:val="1"/>
    <w:next w:val="3"/>
    <w:qFormat/>
    <w:uiPriority w:val="0"/>
    <w:pPr>
      <w:spacing w:after="120" w:line="240" w:lineRule="atLeast"/>
      <w:ind w:left="420" w:leftChars="200"/>
    </w:pPr>
    <w:rPr>
      <w:rFonts w:ascii="Calibri" w:hAnsi="Calibri" w:eastAsia="宋体" w:cs="Times New Roman"/>
      <w:spacing w:val="-6"/>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qFormat/>
    <w:uiPriority w:val="0"/>
    <w:pPr>
      <w:spacing w:after="0"/>
      <w:ind w:firstLine="420" w:firstLineChars="200"/>
    </w:pPr>
    <w:rPr>
      <w:rFonts w:ascii="Times New Roman" w:hAnsi="Times New Roman" w:eastAsia="宋体" w:cs="Times New Roman"/>
    </w:rPr>
  </w:style>
  <w:style w:type="character" w:customStyle="1" w:styleId="9">
    <w:name w:val="font31"/>
    <w:basedOn w:val="8"/>
    <w:qFormat/>
    <w:uiPriority w:val="0"/>
    <w:rPr>
      <w:rFonts w:hint="eastAsia" w:ascii="黑体" w:hAnsi="宋体" w:eastAsia="黑体" w:cs="黑体"/>
      <w:color w:val="000000"/>
      <w:sz w:val="22"/>
      <w:szCs w:val="22"/>
      <w:u w:val="none"/>
    </w:rPr>
  </w:style>
  <w:style w:type="character" w:customStyle="1" w:styleId="10">
    <w:name w:val="font61"/>
    <w:basedOn w:val="8"/>
    <w:qFormat/>
    <w:uiPriority w:val="0"/>
    <w:rPr>
      <w:rFonts w:ascii="Arial" w:hAnsi="Arial" w:cs="Arial"/>
      <w:color w:val="000000"/>
      <w:sz w:val="22"/>
      <w:szCs w:val="22"/>
      <w:u w:val="none"/>
    </w:rPr>
  </w:style>
  <w:style w:type="character" w:customStyle="1" w:styleId="11">
    <w:name w:val="font11"/>
    <w:basedOn w:val="8"/>
    <w:qFormat/>
    <w:uiPriority w:val="0"/>
    <w:rPr>
      <w:rFonts w:hint="eastAsia" w:ascii="黑体" w:hAnsi="宋体" w:eastAsia="黑体" w:cs="黑体"/>
      <w:color w:val="000000"/>
      <w:sz w:val="24"/>
      <w:szCs w:val="24"/>
      <w:u w:val="none"/>
    </w:rPr>
  </w:style>
  <w:style w:type="character" w:customStyle="1" w:styleId="12">
    <w:name w:val="font51"/>
    <w:basedOn w:val="8"/>
    <w:qFormat/>
    <w:uiPriority w:val="0"/>
    <w:rPr>
      <w:rFonts w:hint="eastAsia" w:ascii="黑体" w:hAnsi="宋体" w:eastAsia="黑体" w:cs="黑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134</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2022-12-16T06:25:00Z</dcterms:created>
  <dc:creator>心如止水李春荣</dc:creator>
  <cp:lastModifiedBy>汤会银</cp:lastModifiedBy>
  <cp:lastPrinted>2023-12-26T02:16:00Z</cp:lastPrinted>
  <dcterms:modified xsi:type="dcterms:W3CDTF">2024-01-02T07:04:50Z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EFBC876D20E149748ADBBB37B95F6EAB_12</vt:lpwstr>
  </property>
</Properties>
</file>