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default" w:ascii="宋体" w:hAnsi="宋体" w:eastAsia="方正黑体_GBK" w:cs="宋体"/>
          <w:spacing w:val="-11"/>
          <w:sz w:val="32"/>
          <w:szCs w:val="44"/>
          <w:lang w:val="en-US" w:eastAsia="zh-CN"/>
        </w:rPr>
      </w:pPr>
      <w:r>
        <w:rPr>
          <w:rFonts w:hint="eastAsia" w:ascii="宋体" w:hAnsi="宋体" w:eastAsia="方正黑体_GBK" w:cs="宋体"/>
          <w:spacing w:val="-11"/>
          <w:sz w:val="32"/>
          <w:szCs w:val="44"/>
          <w:lang w:val="en-US" w:eastAsia="zh-CN"/>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宋体"/>
          <w:spacing w:val="-11"/>
          <w:sz w:val="44"/>
          <w:szCs w:val="44"/>
        </w:rPr>
      </w:pPr>
      <w:r>
        <w:rPr>
          <w:rFonts w:hint="eastAsia" w:ascii="宋体" w:hAnsi="宋体" w:eastAsia="方正小标宋_GBK" w:cs="宋体"/>
          <w:spacing w:val="-11"/>
          <w:sz w:val="44"/>
          <w:szCs w:val="44"/>
        </w:rPr>
        <w:t>部分不</w:t>
      </w:r>
      <w:r>
        <w:rPr>
          <w:rFonts w:hint="eastAsia" w:ascii="宋体" w:hAnsi="宋体" w:eastAsia="方正小标宋_GBK" w:cs="宋体"/>
          <w:spacing w:val="-11"/>
          <w:sz w:val="44"/>
          <w:szCs w:val="44"/>
          <w:highlight w:val="none"/>
        </w:rPr>
        <w:t>合格检</w:t>
      </w:r>
      <w:r>
        <w:rPr>
          <w:rFonts w:hint="eastAsia" w:ascii="宋体" w:hAnsi="宋体" w:eastAsia="方正小标宋_GBK" w:cs="宋体"/>
          <w:spacing w:val="-11"/>
          <w:sz w:val="44"/>
          <w:szCs w:val="44"/>
        </w:rPr>
        <w:t>验项目小知识</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宋体"/>
          <w:spacing w:val="-11"/>
          <w:sz w:val="44"/>
          <w:szCs w:val="44"/>
        </w:rPr>
      </w:pP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eastAsia" w:ascii="宋体" w:hAnsi="宋体" w:eastAsia="方正黑体_GBK" w:cs="宋体"/>
          <w:color w:val="auto"/>
          <w:spacing w:val="-11"/>
          <w:sz w:val="32"/>
          <w:szCs w:val="32"/>
          <w:lang w:val="en-US" w:eastAsia="zh-CN"/>
        </w:rPr>
      </w:pPr>
      <w:r>
        <w:rPr>
          <w:rFonts w:hint="eastAsia" w:ascii="宋体" w:hAnsi="宋体" w:eastAsia="方正黑体_GBK" w:cs="宋体"/>
          <w:color w:val="auto"/>
          <w:spacing w:val="-11"/>
          <w:sz w:val="32"/>
          <w:szCs w:val="32"/>
          <w:lang w:val="en-US" w:eastAsia="zh-CN"/>
        </w:rPr>
        <w:t>一、吡虫啉</w:t>
      </w:r>
    </w:p>
    <w:p>
      <w:pPr>
        <w:spacing w:line="594" w:lineRule="exact"/>
        <w:ind w:firstLine="596" w:firstLineChars="200"/>
        <w:rPr>
          <w:rFonts w:hint="eastAsia" w:ascii="仿宋" w:hAnsi="仿宋" w:eastAsia="仿宋" w:cs="仿宋"/>
          <w:color w:val="auto"/>
          <w:spacing w:val="-11"/>
          <w:kern w:val="2"/>
          <w:sz w:val="32"/>
          <w:szCs w:val="32"/>
          <w:lang w:val="en-US" w:eastAsia="zh-CN" w:bidi="ar-SA"/>
        </w:rPr>
      </w:pPr>
      <w:r>
        <w:rPr>
          <w:rFonts w:hint="eastAsia" w:ascii="仿宋" w:hAnsi="仿宋" w:eastAsia="仿宋" w:cs="仿宋"/>
          <w:color w:val="auto"/>
          <w:spacing w:val="-11"/>
          <w:kern w:val="2"/>
          <w:sz w:val="32"/>
          <w:szCs w:val="32"/>
          <w:lang w:val="en-US" w:eastAsia="zh-CN" w:bidi="ar-SA"/>
        </w:rPr>
        <w:t>吡虫啉（imidacloprid），内吸性杀虫剂，可层间传导，具有触杀和胃毒作用。容易被植物吸收，并在植物体内重新分配，有很好的根部内吸活性。防治刺吸式口器害虫，包括稻飞虱、叶飞虱、蚜虫、蓟马和粉虱。也可防治土壤害虫、白蚁和一些叮咬害虫，如稻水象甲和马铃薯甲虫。对线虫和螨没有活性。大鼠急性经口LD50450mg/kg，急性毒性分级为中等毒。属于烟碱类高效杀虫剂，作为错误的神递质与乙酰胆碱受体结合，干扰神经系统中起重要作用的乙酰胆碱的正常功能，使神经传输保持开放状态，引起异常兴奋。中毒症状为恶心、呕吐、头痛、乏力</w:t>
      </w:r>
      <w:bookmarkStart w:id="0" w:name="_GoBack"/>
      <w:bookmarkEnd w:id="0"/>
      <w:r>
        <w:rPr>
          <w:rFonts w:hint="eastAsia" w:ascii="仿宋" w:hAnsi="仿宋" w:eastAsia="仿宋" w:cs="仿宋"/>
          <w:color w:val="auto"/>
          <w:spacing w:val="-11"/>
          <w:kern w:val="2"/>
          <w:sz w:val="32"/>
          <w:szCs w:val="32"/>
          <w:lang w:val="en-US" w:eastAsia="zh-CN" w:bidi="ar-SA"/>
        </w:rPr>
        <w:t>、心跳过速等，严重者出现昏迷、呼吸衰竭。食用食品一般不会导致吡虫啉的急性中毒，但长期食用吡虫啉超标的食品，对人体健康也有一定影响。</w:t>
      </w:r>
    </w:p>
    <w:p>
      <w:pPr>
        <w:spacing w:line="594" w:lineRule="exact"/>
        <w:ind w:firstLine="640" w:firstLineChars="20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GB 2763-2021《食品安全国家标准 食品中农药最大残留限量》中规定，</w:t>
      </w:r>
      <w:r>
        <w:rPr>
          <w:rFonts w:hint="eastAsia" w:ascii="仿宋" w:hAnsi="仿宋" w:eastAsia="仿宋" w:cs="仿宋"/>
          <w:color w:val="auto"/>
          <w:spacing w:val="-11"/>
          <w:kern w:val="2"/>
          <w:sz w:val="32"/>
          <w:szCs w:val="32"/>
          <w:lang w:val="en-US" w:eastAsia="zh-CN" w:bidi="ar-SA"/>
        </w:rPr>
        <w:t>吡虫啉</w:t>
      </w:r>
      <w:r>
        <w:rPr>
          <w:rFonts w:hint="eastAsia" w:ascii="仿宋" w:hAnsi="仿宋" w:eastAsia="仿宋" w:cs="仿宋"/>
          <w:color w:val="auto"/>
          <w:kern w:val="2"/>
          <w:sz w:val="32"/>
          <w:szCs w:val="32"/>
          <w:highlight w:val="none"/>
          <w:lang w:val="en-US" w:eastAsia="zh-CN" w:bidi="ar-SA"/>
        </w:rPr>
        <w:t>在香蕉的最大残留限量为0.05mg/kg。</w:t>
      </w:r>
      <w:r>
        <w:rPr>
          <w:rFonts w:hint="eastAsia" w:ascii="仿宋" w:hAnsi="仿宋" w:eastAsia="仿宋" w:cs="仿宋"/>
          <w:color w:val="auto"/>
          <w:spacing w:val="-11"/>
          <w:kern w:val="2"/>
          <w:sz w:val="32"/>
          <w:szCs w:val="32"/>
          <w:lang w:val="en-US" w:eastAsia="zh-CN" w:bidi="ar-SA"/>
        </w:rPr>
        <w:t>吡虫啉</w:t>
      </w:r>
      <w:r>
        <w:rPr>
          <w:rFonts w:hint="eastAsia" w:ascii="仿宋" w:hAnsi="仿宋" w:eastAsia="仿宋" w:cs="仿宋"/>
          <w:color w:val="auto"/>
          <w:kern w:val="2"/>
          <w:sz w:val="32"/>
          <w:szCs w:val="32"/>
          <w:highlight w:val="none"/>
          <w:lang w:val="en-US" w:eastAsia="zh-CN" w:bidi="ar-SA"/>
        </w:rPr>
        <w:t>残留超标的原因可能是农产品种植者为加强防虫效果超量使用农药，也可能是种植户未严格按照农药安全间隔期，提前采收农作物。</w:t>
      </w:r>
    </w:p>
    <w:p>
      <w:pPr>
        <w:pStyle w:val="2"/>
        <w:rPr>
          <w:rFonts w:hint="eastAsia" w:ascii="宋体" w:hAnsi="宋体" w:eastAsia="方正黑体_GBK" w:cs="宋体"/>
          <w:color w:val="auto"/>
          <w:spacing w:val="-11"/>
          <w:kern w:val="2"/>
          <w:sz w:val="32"/>
          <w:szCs w:val="32"/>
          <w:lang w:val="en-US" w:eastAsia="zh-CN" w:bidi="ar-SA"/>
        </w:rPr>
      </w:pPr>
      <w:r>
        <w:rPr>
          <w:rFonts w:hint="eastAsia" w:ascii="宋体" w:hAnsi="宋体" w:eastAsia="方正黑体_GBK" w:cs="宋体"/>
          <w:color w:val="auto"/>
          <w:spacing w:val="-11"/>
          <w:kern w:val="2"/>
          <w:sz w:val="32"/>
          <w:szCs w:val="32"/>
          <w:lang w:val="en-US" w:eastAsia="zh-CN" w:bidi="ar-SA"/>
        </w:rPr>
        <w:t>二、噻虫胺</w:t>
      </w:r>
    </w:p>
    <w:p>
      <w:pPr>
        <w:spacing w:line="594" w:lineRule="exact"/>
        <w:ind w:firstLine="640" w:firstLineChars="200"/>
        <w:rPr>
          <w:rFonts w:hint="eastAsia" w:ascii="仿宋" w:hAnsi="仿宋" w:eastAsia="仿宋" w:cs="仿宋"/>
          <w:color w:val="auto"/>
          <w:spacing w:val="-11"/>
          <w:kern w:val="2"/>
          <w:sz w:val="32"/>
          <w:szCs w:val="32"/>
          <w:lang w:val="en-US" w:eastAsia="zh-CN" w:bidi="ar-SA"/>
        </w:rPr>
      </w:pPr>
      <w:r>
        <w:rPr>
          <w:rFonts w:hint="eastAsia" w:ascii="仿宋" w:hAnsi="仿宋" w:eastAsia="仿宋" w:cs="仿宋"/>
          <w:color w:val="auto"/>
          <w:kern w:val="2"/>
          <w:sz w:val="32"/>
          <w:szCs w:val="32"/>
          <w:highlight w:val="none"/>
          <w:lang w:val="en-US" w:eastAsia="zh-CN" w:bidi="ar-SA"/>
        </w:rPr>
        <w:t>噻虫胺（</w:t>
      </w:r>
      <w:r>
        <w:rPr>
          <w:rFonts w:hint="default" w:ascii="仿宋" w:hAnsi="仿宋" w:eastAsia="仿宋" w:cs="仿宋"/>
          <w:color w:val="auto"/>
          <w:kern w:val="2"/>
          <w:sz w:val="32"/>
          <w:szCs w:val="32"/>
          <w:highlight w:val="none"/>
          <w:lang w:val="en-US" w:eastAsia="zh-CN" w:bidi="ar-SA"/>
        </w:rPr>
        <w:t>clothianidin</w:t>
      </w:r>
      <w:r>
        <w:rPr>
          <w:rFonts w:hint="eastAsia" w:ascii="仿宋" w:hAnsi="仿宋" w:eastAsia="仿宋" w:cs="仿宋"/>
          <w:color w:val="auto"/>
          <w:kern w:val="2"/>
          <w:sz w:val="32"/>
          <w:szCs w:val="32"/>
          <w:highlight w:val="none"/>
          <w:lang w:val="en-US" w:eastAsia="zh-CN" w:bidi="ar-SA"/>
        </w:rPr>
        <w:t xml:space="preserve">），烟碱类杀虫剂，具有触杀、胃毒作用，具有根内吸活性和层间传导性。土壤处理、叶面喷施和种子处理，防治水稻、玉米、油菜、果树和蔬菜、柑橘的刺吸式和咀嚼式害虫，如飞虱、椿象、蚜虫和烟粉虱。雌雄大鼠急性经口 </w:t>
      </w:r>
      <w:r>
        <w:rPr>
          <w:rFonts w:hint="default" w:ascii="仿宋" w:hAnsi="仿宋" w:eastAsia="仿宋" w:cs="仿宋"/>
          <w:color w:val="auto"/>
          <w:kern w:val="2"/>
          <w:sz w:val="32"/>
          <w:szCs w:val="32"/>
          <w:highlight w:val="none"/>
          <w:lang w:val="en-US" w:eastAsia="zh-CN" w:bidi="ar-SA"/>
        </w:rPr>
        <w:t>LD50&gt; 5000mg/kg</w:t>
      </w:r>
      <w:r>
        <w:rPr>
          <w:rFonts w:hint="eastAsia" w:ascii="仿宋" w:hAnsi="仿宋" w:eastAsia="仿宋" w:cs="仿宋"/>
          <w:color w:val="auto"/>
          <w:kern w:val="2"/>
          <w:sz w:val="32"/>
          <w:szCs w:val="32"/>
          <w:highlight w:val="none"/>
          <w:lang w:val="en-US" w:eastAsia="zh-CN" w:bidi="ar-SA"/>
        </w:rPr>
        <w:t>，急性毒性分级为微毒。急性中毒可出现恶心、呕吐、头痛、乏力、躁动、抽搐等。食用食品一般不会导致噻虫胺的急性中毒，但长期食用噻虫胺超标的食品，对人体健康也有一定影响。</w:t>
      </w:r>
    </w:p>
    <w:p>
      <w:pPr>
        <w:pStyle w:val="2"/>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GB 2763-2021《食品安全国家标准 食品中农药最大残留限量》中规定，噻虫胺在香蕉的最大残留限量为0.02mg/kg。噻虫胺残留超标的原因可能是农产品种植者为加强防虫效果超量使用农药，也可能是种植户未严格按照农药安全间隔期，提前采收农作物。</w:t>
      </w:r>
    </w:p>
    <w:p>
      <w:pPr>
        <w:pStyle w:val="2"/>
        <w:numPr>
          <w:ilvl w:val="0"/>
          <w:numId w:val="1"/>
        </w:numPr>
        <w:rPr>
          <w:rFonts w:hint="eastAsia" w:ascii="宋体" w:hAnsi="宋体" w:eastAsia="方正黑体_GBK" w:cs="宋体"/>
          <w:color w:val="auto"/>
          <w:spacing w:val="-11"/>
          <w:kern w:val="2"/>
          <w:sz w:val="32"/>
          <w:szCs w:val="32"/>
          <w:lang w:val="en-US" w:eastAsia="zh-CN" w:bidi="ar-SA"/>
        </w:rPr>
      </w:pPr>
      <w:r>
        <w:rPr>
          <w:rFonts w:hint="eastAsia" w:ascii="宋体" w:hAnsi="宋体" w:eastAsia="方正黑体_GBK" w:cs="宋体"/>
          <w:color w:val="auto"/>
          <w:spacing w:val="-11"/>
          <w:kern w:val="2"/>
          <w:sz w:val="32"/>
          <w:szCs w:val="32"/>
          <w:lang w:val="en-US" w:eastAsia="zh-CN" w:bidi="ar-SA"/>
        </w:rPr>
        <w:t>噻虫嗪</w:t>
      </w:r>
    </w:p>
    <w:p>
      <w:pPr>
        <w:keepNext w:val="0"/>
        <w:keepLines w:val="0"/>
        <w:widowControl/>
        <w:suppressLineNumbers w:val="0"/>
        <w:ind w:firstLine="640" w:firstLineChars="200"/>
        <w:jc w:val="left"/>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噻虫嗪（</w:t>
      </w:r>
      <w:r>
        <w:rPr>
          <w:rFonts w:hint="default" w:ascii="仿宋" w:hAnsi="仿宋" w:eastAsia="仿宋" w:cs="仿宋"/>
          <w:color w:val="auto"/>
          <w:kern w:val="2"/>
          <w:sz w:val="32"/>
          <w:szCs w:val="32"/>
          <w:highlight w:val="none"/>
          <w:lang w:val="en-US" w:eastAsia="zh-CN" w:bidi="ar-SA"/>
        </w:rPr>
        <w:t>thiamethoxam</w:t>
      </w:r>
      <w:r>
        <w:rPr>
          <w:rFonts w:hint="eastAsia" w:ascii="仿宋" w:hAnsi="仿宋" w:eastAsia="仿宋" w:cs="仿宋"/>
          <w:color w:val="auto"/>
          <w:kern w:val="2"/>
          <w:sz w:val="32"/>
          <w:szCs w:val="32"/>
          <w:highlight w:val="none"/>
          <w:lang w:val="en-US" w:eastAsia="zh-CN" w:bidi="ar-SA"/>
        </w:rPr>
        <w:t xml:space="preserve">），具有触杀、胃毒和内吸作用的杀虫剂。能被迅速吸收到植物体内，并在木质部向顶传导。防治蚜虫、粉虱、蓟马、稻飞虱、稻褐蝽、粉蚧、蛴螬、科罗拉多马铃薯甲虫、跳甲、金针虫、步行虫、潜叶虫和一些鳞翅目害虫。可用于茎叶和土壤处理的主要农作物有芸薹属作物、叶菜类和果菜类、马铃薯、水稻、棉花、落叶果树、咖啡、柑橘、烟草和大豆；种子处理主要用于玉米、高粱、谷物、甜菜、油料油菜、棉花、 </w:t>
      </w:r>
    </w:p>
    <w:p>
      <w:pPr>
        <w:keepNext w:val="0"/>
        <w:keepLines w:val="0"/>
        <w:widowControl/>
        <w:suppressLineNumbers w:val="0"/>
        <w:jc w:val="left"/>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 xml:space="preserve">豌豆、蚕豆、向日葵、水稻和马铃薯。也可用于动物和公共卫生，防治蝇类（如家蝇、厕蝇和果蝇）。大鼠急性经口 </w:t>
      </w:r>
      <w:r>
        <w:rPr>
          <w:rFonts w:hint="default" w:ascii="仿宋" w:hAnsi="仿宋" w:eastAsia="仿宋" w:cs="仿宋"/>
          <w:color w:val="auto"/>
          <w:kern w:val="2"/>
          <w:sz w:val="32"/>
          <w:szCs w:val="32"/>
          <w:highlight w:val="none"/>
          <w:lang w:val="en-US" w:eastAsia="zh-CN" w:bidi="ar-SA"/>
        </w:rPr>
        <w:t xml:space="preserve">LD50 </w:t>
      </w:r>
      <w:r>
        <w:rPr>
          <w:rFonts w:hint="eastAsia" w:ascii="仿宋" w:hAnsi="仿宋" w:eastAsia="仿宋" w:cs="仿宋"/>
          <w:color w:val="auto"/>
          <w:kern w:val="2"/>
          <w:sz w:val="32"/>
          <w:szCs w:val="32"/>
          <w:highlight w:val="none"/>
          <w:lang w:val="en-US" w:eastAsia="zh-CN" w:bidi="ar-SA"/>
        </w:rPr>
        <w:t xml:space="preserve">为 </w:t>
      </w:r>
      <w:r>
        <w:rPr>
          <w:rFonts w:hint="default" w:ascii="仿宋" w:hAnsi="仿宋" w:eastAsia="仿宋" w:cs="仿宋"/>
          <w:color w:val="auto"/>
          <w:kern w:val="2"/>
          <w:sz w:val="32"/>
          <w:szCs w:val="32"/>
          <w:highlight w:val="none"/>
          <w:lang w:val="en-US" w:eastAsia="zh-CN" w:bidi="ar-SA"/>
        </w:rPr>
        <w:t>1563mg/kg</w:t>
      </w:r>
      <w:r>
        <w:rPr>
          <w:rFonts w:hint="eastAsia" w:ascii="仿宋" w:hAnsi="仿宋" w:eastAsia="仿宋" w:cs="仿宋"/>
          <w:color w:val="auto"/>
          <w:kern w:val="2"/>
          <w:sz w:val="32"/>
          <w:szCs w:val="32"/>
          <w:highlight w:val="none"/>
          <w:lang w:val="en-US" w:eastAsia="zh-CN" w:bidi="ar-SA"/>
        </w:rPr>
        <w:t xml:space="preserve">，急性毒性分级为低毒级。烟碱类杀虫剂。中毒可出现恶心、呕吐、头痛、乏力、心跳过速等。食用食品一般不会导致噻虫嗪的急性中毒，但长期食用噻虫嗪超标的食品，对人体健康也有一定影响。 </w:t>
      </w:r>
    </w:p>
    <w:p>
      <w:pPr>
        <w:keepNext w:val="0"/>
        <w:keepLines w:val="0"/>
        <w:widowControl/>
        <w:suppressLineNumbers w:val="0"/>
        <w:ind w:firstLine="640" w:firstLineChars="200"/>
        <w:jc w:val="left"/>
      </w:pPr>
      <w:r>
        <w:rPr>
          <w:rFonts w:hint="eastAsia" w:ascii="仿宋" w:hAnsi="仿宋" w:eastAsia="仿宋" w:cs="仿宋"/>
          <w:color w:val="auto"/>
          <w:kern w:val="2"/>
          <w:sz w:val="32"/>
          <w:szCs w:val="32"/>
          <w:highlight w:val="none"/>
          <w:lang w:val="en-US" w:eastAsia="zh-CN" w:bidi="ar-SA"/>
        </w:rPr>
        <w:t>GB 2763-2021《食品安全国家标准 食品中农药最大残留限量》中规定，噻虫嗪在香蕉的最大残留限量为0.02mg/kg。噻虫嗪残留超标的原因可能是农产品种植者为加强防虫效果超量使用农药，也可能是种植户未严格按照农药安全间隔期，提前采收农作物。</w:t>
      </w:r>
    </w:p>
    <w:p>
      <w:pPr>
        <w:pStyle w:val="2"/>
        <w:numPr>
          <w:ilvl w:val="0"/>
          <w:numId w:val="0"/>
        </w:numPr>
        <w:ind w:leftChars="200"/>
        <w:rPr>
          <w:rFonts w:hint="default" w:ascii="宋体" w:hAnsi="宋体" w:eastAsia="方正黑体_GBK" w:cs="宋体"/>
          <w:color w:val="auto"/>
          <w:spacing w:val="-11"/>
          <w:kern w:val="2"/>
          <w:sz w:val="32"/>
          <w:szCs w:val="32"/>
          <w:lang w:val="en-US" w:eastAsia="zh-CN" w:bidi="ar-SA"/>
        </w:rPr>
      </w:pPr>
    </w:p>
    <w:p>
      <w:pPr>
        <w:keepNext w:val="0"/>
        <w:keepLines w:val="0"/>
        <w:widowControl/>
        <w:suppressLineNumbers w:val="0"/>
        <w:ind w:firstLine="596" w:firstLineChars="200"/>
        <w:jc w:val="left"/>
        <w:rPr>
          <w:rFonts w:hint="eastAsia" w:ascii="仿宋" w:hAnsi="仿宋" w:eastAsia="仿宋" w:cs="仿宋"/>
          <w:color w:val="auto"/>
          <w:spacing w:val="-11"/>
          <w:kern w:val="2"/>
          <w:sz w:val="32"/>
          <w:szCs w:val="32"/>
          <w:lang w:val="en-US" w:eastAsia="zh-CN" w:bidi="ar-SA"/>
        </w:rPr>
      </w:pPr>
      <w:r>
        <w:rPr>
          <w:rFonts w:hint="eastAsia" w:ascii="仿宋" w:hAnsi="仿宋" w:eastAsia="仿宋" w:cs="仿宋"/>
          <w:color w:val="auto"/>
          <w:spacing w:val="-11"/>
          <w:kern w:val="2"/>
          <w:sz w:val="32"/>
          <w:szCs w:val="32"/>
          <w:lang w:val="en-US" w:eastAsia="zh-CN" w:bidi="ar-SA"/>
        </w:rPr>
        <w:t xml:space="preserve"> </w:t>
      </w:r>
    </w:p>
    <w:p>
      <w:pPr>
        <w:pStyle w:val="2"/>
        <w:numPr>
          <w:ilvl w:val="0"/>
          <w:numId w:val="0"/>
        </w:numPr>
        <w:ind w:firstLine="596" w:firstLineChars="200"/>
        <w:rPr>
          <w:rFonts w:hint="default" w:ascii="仿宋" w:hAnsi="仿宋" w:eastAsia="仿宋" w:cs="仿宋"/>
          <w:color w:val="auto"/>
          <w:spacing w:val="-11"/>
          <w:kern w:val="2"/>
          <w:sz w:val="32"/>
          <w:szCs w:val="32"/>
          <w:lang w:val="en-US" w:eastAsia="zh-CN" w:bidi="ar-SA"/>
        </w:rPr>
      </w:pPr>
    </w:p>
    <w:sectPr>
      <w:footerReference r:id="rId3" w:type="default"/>
      <w:footerReference r:id="rId4" w:type="even"/>
      <w:pgSz w:w="11906" w:h="16838"/>
      <w:pgMar w:top="2098" w:right="1417" w:bottom="147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1" w:fontKey="{4CB0090A-7833-492D-B48B-6A8889DF9B23}"/>
  </w:font>
  <w:font w:name="方正黑体_GBK">
    <w:panose1 w:val="03000509000000000000"/>
    <w:charset w:val="86"/>
    <w:family w:val="auto"/>
    <w:pitch w:val="default"/>
    <w:sig w:usb0="00000001" w:usb1="080E0000" w:usb2="00000000" w:usb3="00000000" w:csb0="00040000" w:csb1="00000000"/>
    <w:embedRegular r:id="rId2" w:fontKey="{D7A3804A-98E3-48C0-AF84-0FBF5BA0BDC7}"/>
  </w:font>
  <w:font w:name="方正小标宋_GBK">
    <w:panose1 w:val="03000509000000000000"/>
    <w:charset w:val="86"/>
    <w:family w:val="auto"/>
    <w:pitch w:val="default"/>
    <w:sig w:usb0="00000001" w:usb1="080E0000" w:usb2="00000000" w:usb3="00000000" w:csb0="00040000" w:csb1="00000000"/>
    <w:embedRegular r:id="rId3" w:fontKey="{94605922-0CA8-44BF-933D-6285E899712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70CD9"/>
    <w:multiLevelType w:val="singleLevel"/>
    <w:tmpl w:val="CBE70CD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mMGY2YTc5ZGUxYjRkYjY1NTE4MjhkMzhlNTRmNjgifQ=="/>
  </w:docVars>
  <w:rsids>
    <w:rsidRoot w:val="15B85137"/>
    <w:rsid w:val="000119D5"/>
    <w:rsid w:val="00013E30"/>
    <w:rsid w:val="000276F3"/>
    <w:rsid w:val="00045657"/>
    <w:rsid w:val="00063DA7"/>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86FEC"/>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1276631"/>
    <w:rsid w:val="02E57613"/>
    <w:rsid w:val="05A17BF2"/>
    <w:rsid w:val="077F1302"/>
    <w:rsid w:val="08A718AC"/>
    <w:rsid w:val="0AAD14F9"/>
    <w:rsid w:val="0BAF665A"/>
    <w:rsid w:val="0EE17310"/>
    <w:rsid w:val="0EFB1BB6"/>
    <w:rsid w:val="0FED6590"/>
    <w:rsid w:val="10022AD1"/>
    <w:rsid w:val="11AA7966"/>
    <w:rsid w:val="11C52008"/>
    <w:rsid w:val="141679B1"/>
    <w:rsid w:val="159E2C66"/>
    <w:rsid w:val="15B85137"/>
    <w:rsid w:val="16041BA6"/>
    <w:rsid w:val="17375756"/>
    <w:rsid w:val="187854F2"/>
    <w:rsid w:val="18E40145"/>
    <w:rsid w:val="1D2A530E"/>
    <w:rsid w:val="1F0653D6"/>
    <w:rsid w:val="1FA83868"/>
    <w:rsid w:val="22A46395"/>
    <w:rsid w:val="23496F3C"/>
    <w:rsid w:val="29455AB0"/>
    <w:rsid w:val="29DB01C2"/>
    <w:rsid w:val="2BDB0938"/>
    <w:rsid w:val="2C550700"/>
    <w:rsid w:val="2C9024A3"/>
    <w:rsid w:val="2DE7759F"/>
    <w:rsid w:val="2E0C4DEE"/>
    <w:rsid w:val="2F123941"/>
    <w:rsid w:val="2F1403FE"/>
    <w:rsid w:val="33067B3D"/>
    <w:rsid w:val="33764379"/>
    <w:rsid w:val="33D04B10"/>
    <w:rsid w:val="361B61C7"/>
    <w:rsid w:val="36C50230"/>
    <w:rsid w:val="3A512225"/>
    <w:rsid w:val="3AE4499E"/>
    <w:rsid w:val="3B797920"/>
    <w:rsid w:val="3ECA4CD4"/>
    <w:rsid w:val="40475A64"/>
    <w:rsid w:val="42CD2946"/>
    <w:rsid w:val="44586DC0"/>
    <w:rsid w:val="45C97345"/>
    <w:rsid w:val="479E0D55"/>
    <w:rsid w:val="48271394"/>
    <w:rsid w:val="48805DD2"/>
    <w:rsid w:val="49115557"/>
    <w:rsid w:val="49C57CC7"/>
    <w:rsid w:val="4AFE195C"/>
    <w:rsid w:val="4B304B48"/>
    <w:rsid w:val="4B4C58F8"/>
    <w:rsid w:val="4B5562A0"/>
    <w:rsid w:val="4BB9615E"/>
    <w:rsid w:val="4BC323F1"/>
    <w:rsid w:val="4C9B5A25"/>
    <w:rsid w:val="4CB16E35"/>
    <w:rsid w:val="4D2F6550"/>
    <w:rsid w:val="4EE57FD2"/>
    <w:rsid w:val="4F764366"/>
    <w:rsid w:val="510D7238"/>
    <w:rsid w:val="518508DD"/>
    <w:rsid w:val="52732B71"/>
    <w:rsid w:val="532E3A5B"/>
    <w:rsid w:val="53403699"/>
    <w:rsid w:val="570D6E1F"/>
    <w:rsid w:val="5959236C"/>
    <w:rsid w:val="5B0203A0"/>
    <w:rsid w:val="60FD15F7"/>
    <w:rsid w:val="6189617B"/>
    <w:rsid w:val="62C531E2"/>
    <w:rsid w:val="634E6D48"/>
    <w:rsid w:val="63A75247"/>
    <w:rsid w:val="63E1229E"/>
    <w:rsid w:val="654C187B"/>
    <w:rsid w:val="6655487D"/>
    <w:rsid w:val="6A00000E"/>
    <w:rsid w:val="6A7A5576"/>
    <w:rsid w:val="6AF6660F"/>
    <w:rsid w:val="6BD46244"/>
    <w:rsid w:val="6CDE6EEF"/>
    <w:rsid w:val="6D535020"/>
    <w:rsid w:val="6D631F76"/>
    <w:rsid w:val="6E0005AE"/>
    <w:rsid w:val="6ED3511D"/>
    <w:rsid w:val="6FB849AC"/>
    <w:rsid w:val="70E4517B"/>
    <w:rsid w:val="74A44FDB"/>
    <w:rsid w:val="75856B41"/>
    <w:rsid w:val="7BFC5A6F"/>
    <w:rsid w:val="7C896BD7"/>
    <w:rsid w:val="7CCD4AFB"/>
    <w:rsid w:val="7D2012E9"/>
    <w:rsid w:val="7D2423F5"/>
    <w:rsid w:val="7F5B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qFormat/>
    <w:uiPriority w:val="0"/>
    <w:pPr>
      <w:spacing w:after="120"/>
      <w:ind w:left="420" w:leftChars="200"/>
    </w:pPr>
  </w:style>
  <w:style w:type="paragraph" w:styleId="4">
    <w:name w:val="annotation text"/>
    <w:basedOn w:val="1"/>
    <w:link w:val="20"/>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9"/>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1"/>
    <w:qFormat/>
    <w:uiPriority w:val="0"/>
    <w:rPr>
      <w:b/>
      <w:bCs/>
    </w:rPr>
  </w:style>
  <w:style w:type="character" w:styleId="13">
    <w:name w:val="annotation reference"/>
    <w:basedOn w:val="12"/>
    <w:qFormat/>
    <w:uiPriority w:val="0"/>
    <w:rPr>
      <w:sz w:val="21"/>
      <w:szCs w:val="21"/>
    </w:rPr>
  </w:style>
  <w:style w:type="paragraph" w:customStyle="1" w:styleId="14">
    <w:name w:val="列出段落2"/>
    <w:basedOn w:val="1"/>
    <w:qFormat/>
    <w:uiPriority w:val="34"/>
    <w:pPr>
      <w:ind w:firstLine="420" w:firstLineChars="200"/>
    </w:pPr>
  </w:style>
  <w:style w:type="character" w:customStyle="1" w:styleId="15">
    <w:name w:val="批注框文本 字符"/>
    <w:basedOn w:val="12"/>
    <w:link w:val="5"/>
    <w:qFormat/>
    <w:uiPriority w:val="0"/>
    <w:rPr>
      <w:rFonts w:ascii="Calibri" w:hAnsi="Calibri" w:eastAsia="宋体" w:cs="Times New Roman"/>
      <w:kern w:val="2"/>
      <w:sz w:val="18"/>
      <w:szCs w:val="18"/>
    </w:rPr>
  </w:style>
  <w:style w:type="paragraph" w:styleId="16">
    <w:name w:val="List Paragraph"/>
    <w:basedOn w:val="1"/>
    <w:qFormat/>
    <w:uiPriority w:val="34"/>
    <w:pPr>
      <w:ind w:firstLine="420" w:firstLineChars="200"/>
    </w:pPr>
    <w:rPr>
      <w:szCs w:val="22"/>
    </w:rPr>
  </w:style>
  <w:style w:type="character" w:customStyle="1" w:styleId="17">
    <w:name w:val="页眉 字符"/>
    <w:basedOn w:val="12"/>
    <w:link w:val="7"/>
    <w:qFormat/>
    <w:uiPriority w:val="0"/>
    <w:rPr>
      <w:rFonts w:ascii="Calibri" w:hAnsi="Calibri" w:eastAsia="宋体" w:cs="Times New Roman"/>
      <w:kern w:val="2"/>
      <w:sz w:val="18"/>
      <w:szCs w:val="18"/>
    </w:rPr>
  </w:style>
  <w:style w:type="character" w:customStyle="1" w:styleId="18">
    <w:name w:val="页脚 字符"/>
    <w:basedOn w:val="12"/>
    <w:link w:val="6"/>
    <w:qFormat/>
    <w:uiPriority w:val="99"/>
    <w:rPr>
      <w:rFonts w:ascii="Calibri" w:hAnsi="Calibri" w:eastAsia="宋体" w:cs="Times New Roman"/>
      <w:kern w:val="2"/>
      <w:sz w:val="18"/>
      <w:szCs w:val="18"/>
    </w:rPr>
  </w:style>
  <w:style w:type="character" w:customStyle="1" w:styleId="19">
    <w:name w:val="副标题 字符"/>
    <w:basedOn w:val="12"/>
    <w:link w:val="8"/>
    <w:qFormat/>
    <w:uiPriority w:val="0"/>
    <w:rPr>
      <w:rFonts w:ascii="Times New Roman" w:hAnsi="Times New Roman" w:eastAsia="黑体"/>
      <w:bCs/>
      <w:kern w:val="28"/>
      <w:sz w:val="32"/>
      <w:szCs w:val="32"/>
    </w:rPr>
  </w:style>
  <w:style w:type="character" w:customStyle="1" w:styleId="20">
    <w:name w:val="批注文字 字符"/>
    <w:basedOn w:val="12"/>
    <w:link w:val="4"/>
    <w:qFormat/>
    <w:uiPriority w:val="0"/>
    <w:rPr>
      <w:rFonts w:ascii="Calibri" w:hAnsi="Calibri" w:eastAsia="宋体" w:cs="Times New Roman"/>
      <w:kern w:val="2"/>
      <w:sz w:val="21"/>
      <w:szCs w:val="24"/>
    </w:rPr>
  </w:style>
  <w:style w:type="character" w:customStyle="1" w:styleId="21">
    <w:name w:val="批注主题 字符"/>
    <w:basedOn w:val="20"/>
    <w:link w:val="10"/>
    <w:qFormat/>
    <w:uiPriority w:val="0"/>
    <w:rPr>
      <w:rFonts w:ascii="Calibri" w:hAnsi="Calibri" w:eastAsia="宋体" w:cs="Times New Roman"/>
      <w:b/>
      <w:bCs/>
      <w:kern w:val="2"/>
      <w:sz w:val="21"/>
      <w:szCs w:val="24"/>
    </w:rPr>
  </w:style>
  <w:style w:type="paragraph" w:customStyle="1" w:styleId="22">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3</Pages>
  <Words>1163</Words>
  <Characters>1281</Characters>
  <Lines>16</Lines>
  <Paragraphs>4</Paragraphs>
  <TotalTime>1</TotalTime>
  <ScaleCrop>false</ScaleCrop>
  <LinksUpToDate>false</LinksUpToDate>
  <CharactersWithSpaces>1295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阿瑾呀</cp:lastModifiedBy>
  <dcterms:modified xsi:type="dcterms:W3CDTF">2023-09-05T07:40:04Z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BFD02D606F7B421BA16D13BA0ED4F7A7</vt:lpwstr>
  </property>
</Properties>
</file>