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24" w:firstLineChars="200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富政复〔2023〕</w:t>
      </w:r>
      <w:r>
        <w:rPr>
          <w:rFonts w:hint="eastAsia"/>
          <w:lang w:val="en-US" w:eastAsia="zh-CN"/>
        </w:rPr>
        <w:t>94</w:t>
      </w:r>
      <w:r>
        <w:rPr>
          <w:rFonts w:hint="eastAsia"/>
          <w:lang w:eastAsia="zh-CN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rPr>
          <w:rFonts w:hint="eastAsia" w:eastAsia="方正小标宋_GBK"/>
          <w:sz w:val="44"/>
          <w:lang w:eastAsia="zh-CN"/>
        </w:rPr>
      </w:pPr>
      <w:r>
        <w:rPr>
          <w:rFonts w:hint="eastAsia" w:eastAsia="方正小标宋_GBK"/>
          <w:sz w:val="44"/>
          <w:lang w:eastAsia="zh-CN"/>
        </w:rPr>
        <w:t>富源县人民政府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rPr>
          <w:rFonts w:hint="eastAsia" w:eastAsia="方正小标宋_GBK"/>
          <w:sz w:val="44"/>
          <w:lang w:eastAsia="zh-CN"/>
        </w:rPr>
      </w:pPr>
      <w:r>
        <w:rPr>
          <w:rFonts w:hint="eastAsia" w:eastAsia="方正小标宋_GBK"/>
          <w:sz w:val="44"/>
          <w:lang w:eastAsia="zh-CN"/>
        </w:rPr>
        <w:t>关于同意实施2023年第二批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rPr>
          <w:rFonts w:hint="eastAsia" w:eastAsia="方正小标宋_GBK"/>
          <w:sz w:val="44"/>
          <w:lang w:eastAsia="zh-CN"/>
        </w:rPr>
      </w:pPr>
      <w:r>
        <w:rPr>
          <w:rFonts w:hint="eastAsia" w:eastAsia="方正小标宋_GBK"/>
          <w:sz w:val="44"/>
          <w:lang w:eastAsia="zh-CN"/>
        </w:rPr>
        <w:t>中央财政衔接资金人居环境整治项目的批复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03" w:beforeLines="50" w:line="600" w:lineRule="exact"/>
        <w:ind w:firstLine="0" w:firstLineChars="0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县农业农村局：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《富源县农业农村局关于2023年第二批中央财政衔接资金人居环境整治项目的请示》（富农请〔2023〕</w:t>
      </w:r>
      <w:r>
        <w:rPr>
          <w:rFonts w:hint="eastAsia"/>
          <w:lang w:val="en-US" w:eastAsia="zh-CN"/>
        </w:rPr>
        <w:t>14</w:t>
      </w:r>
      <w:r>
        <w:rPr>
          <w:rFonts w:hint="eastAsia"/>
          <w:lang w:eastAsia="zh-CN"/>
        </w:rPr>
        <w:t>号）收悉，经县人民政府研究，现批复如下：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一、原则同意实施2023年第二批中央财政衔接资金人居环境整治项目建设。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二、县农业农村局要加强指导、压实责任，督促项目实施单位严格按照项目计划组织实施，确保9个项目有序开工、快速推进，尽早发挥效益。县财政局、县乡村振兴局要加强项目资金监管，确保项目资金安全、高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附件：富源县2023年第二批中央财政衔接资金项目规划表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992" w:firstLineChars="1600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富源县人民政府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1248" w:rightChars="400" w:firstLine="624" w:firstLineChars="200"/>
        <w:jc w:val="right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2023年6月</w:t>
      </w:r>
      <w:r>
        <w:rPr>
          <w:rFonts w:hint="eastAsia"/>
          <w:lang w:val="en-US" w:eastAsia="zh-CN"/>
        </w:rPr>
        <w:t>15</w:t>
      </w:r>
      <w:r>
        <w:rPr>
          <w:rFonts w:hint="eastAsia"/>
          <w:lang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  <w:rPr>
          <w:rFonts w:hint="eastAsia"/>
          <w:lang w:eastAsia="zh-CN"/>
        </w:rPr>
        <w:sectPr>
          <w:footerReference r:id="rId3" w:type="default"/>
          <w:footerReference r:id="rId4" w:type="even"/>
          <w:pgSz w:w="11906" w:h="16838"/>
          <w:pgMar w:top="1871" w:right="1587" w:bottom="1757" w:left="1587" w:header="1134" w:footer="113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0" w:num="1"/>
          <w:rtlGutter w:val="0"/>
          <w:docGrid w:type="linesAndChars" w:linePitch="600" w:charSpace="-1668"/>
        </w:sect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textAlignment w:val="auto"/>
        <w:rPr>
          <w:rFonts w:hint="default" w:ascii="Times New Roman" w:hAnsi="Times New Roman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  <w:t>附件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textAlignment w:val="auto"/>
        <w:rPr>
          <w:rFonts w:hint="default" w:ascii="Times New Roman" w:hAnsi="Times New Roman" w:cs="Times New Roman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rPr>
          <w:rFonts w:hint="eastAsia"/>
          <w:lang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32"/>
          <w:lang w:eastAsia="zh-CN"/>
        </w:rPr>
        <w:t>富源县2023年第二批中央财政衔接资金项目规划表</w:t>
      </w:r>
    </w:p>
    <w:tbl>
      <w:tblPr>
        <w:tblStyle w:val="5"/>
        <w:tblW w:w="1528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6"/>
        <w:gridCol w:w="497"/>
        <w:gridCol w:w="565"/>
        <w:gridCol w:w="572"/>
        <w:gridCol w:w="803"/>
        <w:gridCol w:w="842"/>
        <w:gridCol w:w="1167"/>
        <w:gridCol w:w="766"/>
        <w:gridCol w:w="844"/>
        <w:gridCol w:w="758"/>
        <w:gridCol w:w="2314"/>
        <w:gridCol w:w="565"/>
        <w:gridCol w:w="686"/>
        <w:gridCol w:w="476"/>
        <w:gridCol w:w="2311"/>
        <w:gridCol w:w="804"/>
        <w:gridCol w:w="85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  <w:tblHeader/>
          <w:jc w:val="center"/>
        </w:trPr>
        <w:tc>
          <w:tcPr>
            <w:tcW w:w="45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497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项目申报单位</w:t>
            </w:r>
          </w:p>
        </w:tc>
        <w:tc>
          <w:tcPr>
            <w:tcW w:w="56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项目行业主管部门</w:t>
            </w:r>
          </w:p>
        </w:tc>
        <w:tc>
          <w:tcPr>
            <w:tcW w:w="57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项目类型</w:t>
            </w:r>
          </w:p>
        </w:tc>
        <w:tc>
          <w:tcPr>
            <w:tcW w:w="803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二级项目类型</w:t>
            </w:r>
          </w:p>
        </w:tc>
        <w:tc>
          <w:tcPr>
            <w:tcW w:w="84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项目子类型</w:t>
            </w:r>
          </w:p>
        </w:tc>
        <w:tc>
          <w:tcPr>
            <w:tcW w:w="1167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76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建设性质</w:t>
            </w: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Style w:val="8"/>
                <w:rFonts w:hint="default" w:ascii="Times New Roman" w:hAnsi="Times New Roman" w:eastAsia="方正黑体_GBK" w:cs="Times New Roman"/>
                <w:sz w:val="21"/>
                <w:szCs w:val="21"/>
                <w:lang w:val="en-US" w:eastAsia="zh-CN" w:bidi="ar"/>
              </w:rPr>
              <w:t>（新建、续建）</w:t>
            </w:r>
          </w:p>
        </w:tc>
        <w:tc>
          <w:tcPr>
            <w:tcW w:w="84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项目实施地点</w:t>
            </w:r>
          </w:p>
        </w:tc>
        <w:tc>
          <w:tcPr>
            <w:tcW w:w="758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项目组织实施</w:t>
            </w: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责任单位</w:t>
            </w:r>
          </w:p>
        </w:tc>
        <w:tc>
          <w:tcPr>
            <w:tcW w:w="231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项目概要及主要建设内容</w:t>
            </w:r>
          </w:p>
        </w:tc>
        <w:tc>
          <w:tcPr>
            <w:tcW w:w="1727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项目预算总投资（万元）</w:t>
            </w:r>
          </w:p>
        </w:tc>
        <w:tc>
          <w:tcPr>
            <w:tcW w:w="2311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绩效目标（项目覆盖、联农带农等有量化的核心指标）</w:t>
            </w:r>
          </w:p>
        </w:tc>
        <w:tc>
          <w:tcPr>
            <w:tcW w:w="80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项目预计开工时间</w:t>
            </w:r>
          </w:p>
        </w:tc>
        <w:tc>
          <w:tcPr>
            <w:tcW w:w="85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项目预计完工时间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  <w:tblHeader/>
          <w:jc w:val="center"/>
        </w:trPr>
        <w:tc>
          <w:tcPr>
            <w:tcW w:w="45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97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0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4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7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4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1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</w:t>
            </w:r>
            <w:r>
              <w:rPr>
                <w:rStyle w:val="10"/>
                <w:rFonts w:hint="default" w:ascii="Times New Roman" w:hAnsi="Times New Roman" w:eastAsia="方正黑体_GBK" w:cs="Times New Roman"/>
                <w:sz w:val="21"/>
                <w:szCs w:val="21"/>
                <w:lang w:val="en-US" w:eastAsia="zh-CN" w:bidi="ar"/>
              </w:rPr>
              <w:t>计</w:t>
            </w:r>
          </w:p>
        </w:tc>
        <w:tc>
          <w:tcPr>
            <w:tcW w:w="68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中央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资金</w:t>
            </w:r>
          </w:p>
        </w:tc>
        <w:tc>
          <w:tcPr>
            <w:tcW w:w="47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省级资金</w:t>
            </w:r>
          </w:p>
        </w:tc>
        <w:tc>
          <w:tcPr>
            <w:tcW w:w="2311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  <w:jc w:val="center"/>
        </w:trPr>
        <w:tc>
          <w:tcPr>
            <w:tcW w:w="9584" w:type="dxa"/>
            <w:gridSpan w:val="11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人居环境整治项目</w:t>
            </w:r>
          </w:p>
        </w:tc>
        <w:tc>
          <w:tcPr>
            <w:tcW w:w="5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68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500.00</w:t>
            </w:r>
          </w:p>
        </w:tc>
        <w:tc>
          <w:tcPr>
            <w:tcW w:w="47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1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5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38" w:hRule="atLeast"/>
          <w:jc w:val="center"/>
        </w:trPr>
        <w:tc>
          <w:tcPr>
            <w:tcW w:w="45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竹园镇</w:t>
            </w:r>
          </w:p>
        </w:tc>
        <w:tc>
          <w:tcPr>
            <w:tcW w:w="5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富源县农业农村局</w:t>
            </w:r>
          </w:p>
        </w:tc>
        <w:tc>
          <w:tcPr>
            <w:tcW w:w="57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乡村建设行动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农村人居环境整治</w:t>
            </w:r>
          </w:p>
        </w:tc>
        <w:tc>
          <w:tcPr>
            <w:tcW w:w="8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农村污水治理、村容村貌提升</w:t>
            </w:r>
          </w:p>
        </w:tc>
        <w:tc>
          <w:tcPr>
            <w:tcW w:w="116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饿得村、戈白村人居环境整治工程</w:t>
            </w:r>
          </w:p>
        </w:tc>
        <w:tc>
          <w:tcPr>
            <w:tcW w:w="76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新建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饿得村、戈白村</w:t>
            </w:r>
          </w:p>
        </w:tc>
        <w:tc>
          <w:tcPr>
            <w:tcW w:w="7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竹园镇人民政府</w:t>
            </w:r>
          </w:p>
        </w:tc>
        <w:tc>
          <w:tcPr>
            <w:tcW w:w="231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改扩建进村道路，建设排污沟和排污管，建设污水处理沉淀池。</w:t>
            </w:r>
          </w:p>
        </w:tc>
        <w:tc>
          <w:tcPr>
            <w:tcW w:w="5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68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47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1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改善农村人居环境，切实改变群众生产生活条件，促进群众增收，项目建成后受益群众158户798人，其中：脱贫户和监测对象户13户53人。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2023年6月</w:t>
            </w:r>
          </w:p>
        </w:tc>
        <w:tc>
          <w:tcPr>
            <w:tcW w:w="85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2023年12月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9" w:hRule="atLeast"/>
          <w:jc w:val="center"/>
        </w:trPr>
        <w:tc>
          <w:tcPr>
            <w:tcW w:w="45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4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墨红镇</w:t>
            </w:r>
          </w:p>
        </w:tc>
        <w:tc>
          <w:tcPr>
            <w:tcW w:w="5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富源县农业农村局</w:t>
            </w:r>
          </w:p>
        </w:tc>
        <w:tc>
          <w:tcPr>
            <w:tcW w:w="57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乡村建设行动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农村人居环境整治</w:t>
            </w:r>
          </w:p>
        </w:tc>
        <w:tc>
          <w:tcPr>
            <w:tcW w:w="8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农村污水、垃圾治理及村容村貌提升</w:t>
            </w:r>
          </w:p>
        </w:tc>
        <w:tc>
          <w:tcPr>
            <w:tcW w:w="116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普冲村委会洗洋塘村人居环境整治工程</w:t>
            </w:r>
          </w:p>
        </w:tc>
        <w:tc>
          <w:tcPr>
            <w:tcW w:w="76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新建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普冲村委会洗洋塘村</w:t>
            </w:r>
          </w:p>
        </w:tc>
        <w:tc>
          <w:tcPr>
            <w:tcW w:w="7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墨红镇人民政府</w:t>
            </w:r>
          </w:p>
        </w:tc>
        <w:tc>
          <w:tcPr>
            <w:tcW w:w="231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新建4米宽、0.2米厚的混凝土村庄道路。</w:t>
            </w:r>
          </w:p>
        </w:tc>
        <w:tc>
          <w:tcPr>
            <w:tcW w:w="5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68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47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1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项目建成后，村庄基础设施进一步完善，村庄环境卫生进一步改善，群众生产生活水平明显提高。项目覆盖、联农带农178户810人。其中：脱贫户和监测对象户12户49人。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2023年6月</w:t>
            </w:r>
          </w:p>
        </w:tc>
        <w:tc>
          <w:tcPr>
            <w:tcW w:w="85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2023年12月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56" w:hRule="atLeast"/>
          <w:jc w:val="center"/>
        </w:trPr>
        <w:tc>
          <w:tcPr>
            <w:tcW w:w="45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4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富村镇</w:t>
            </w:r>
          </w:p>
        </w:tc>
        <w:tc>
          <w:tcPr>
            <w:tcW w:w="5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富源县农业农村局</w:t>
            </w:r>
          </w:p>
        </w:tc>
        <w:tc>
          <w:tcPr>
            <w:tcW w:w="57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乡村建设行动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农村人居环境整治</w:t>
            </w:r>
          </w:p>
        </w:tc>
        <w:tc>
          <w:tcPr>
            <w:tcW w:w="8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污水治理</w:t>
            </w:r>
          </w:p>
        </w:tc>
        <w:tc>
          <w:tcPr>
            <w:tcW w:w="116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块泽村委会中块泽村污水治理</w:t>
            </w:r>
          </w:p>
        </w:tc>
        <w:tc>
          <w:tcPr>
            <w:tcW w:w="76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新建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块泽村委会中块泽村</w:t>
            </w:r>
          </w:p>
        </w:tc>
        <w:tc>
          <w:tcPr>
            <w:tcW w:w="7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富村镇人民政府</w:t>
            </w:r>
          </w:p>
        </w:tc>
        <w:tc>
          <w:tcPr>
            <w:tcW w:w="231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建设污水处理氧化塘1个</w:t>
            </w:r>
            <w:r>
              <w:rPr>
                <w:rStyle w:val="11"/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 w:bidi="ar"/>
              </w:rPr>
              <w:t>及污水管网。</w:t>
            </w:r>
          </w:p>
        </w:tc>
        <w:tc>
          <w:tcPr>
            <w:tcW w:w="5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68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47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1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项目建成后，村庄基础设施进一步完善，村庄环境卫生进一步改善，群众生产生活水平明显提高。项目覆盖、联农带农覆盖受益人口121户454人，其中：脱贫户和监测对象户19户83人。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2023年6月</w:t>
            </w:r>
          </w:p>
        </w:tc>
        <w:tc>
          <w:tcPr>
            <w:tcW w:w="85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2023年12月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53" w:hRule="atLeast"/>
          <w:jc w:val="center"/>
        </w:trPr>
        <w:tc>
          <w:tcPr>
            <w:tcW w:w="45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4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黄泥河镇</w:t>
            </w:r>
          </w:p>
        </w:tc>
        <w:tc>
          <w:tcPr>
            <w:tcW w:w="5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富源县农业农村局</w:t>
            </w:r>
          </w:p>
        </w:tc>
        <w:tc>
          <w:tcPr>
            <w:tcW w:w="57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乡村建设行动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农村人居环境整治</w:t>
            </w:r>
          </w:p>
        </w:tc>
        <w:tc>
          <w:tcPr>
            <w:tcW w:w="8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污水治理</w:t>
            </w:r>
          </w:p>
        </w:tc>
        <w:tc>
          <w:tcPr>
            <w:tcW w:w="116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迤更者村委会白云寺村污水管网建设</w:t>
            </w:r>
          </w:p>
        </w:tc>
        <w:tc>
          <w:tcPr>
            <w:tcW w:w="76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新建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迤更者村委会白云寺村</w:t>
            </w:r>
          </w:p>
        </w:tc>
        <w:tc>
          <w:tcPr>
            <w:tcW w:w="7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黄泥河镇人民政府</w:t>
            </w:r>
          </w:p>
        </w:tc>
        <w:tc>
          <w:tcPr>
            <w:tcW w:w="231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建设安装110＃PVC塑料排污管网，建设污水处理氧化塘1个</w:t>
            </w:r>
            <w:r>
              <w:rPr>
                <w:rStyle w:val="11"/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 w:bidi="ar"/>
              </w:rPr>
              <w:t>。</w:t>
            </w:r>
          </w:p>
        </w:tc>
        <w:tc>
          <w:tcPr>
            <w:tcW w:w="5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68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47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1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解决迤更者村委会白云寺村92户386人污水排放不规范等问题。其中：脱贫户13户69人。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2023年6月</w:t>
            </w:r>
          </w:p>
        </w:tc>
        <w:tc>
          <w:tcPr>
            <w:tcW w:w="85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2023年12月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73" w:hRule="atLeast"/>
          <w:jc w:val="center"/>
        </w:trPr>
        <w:tc>
          <w:tcPr>
            <w:tcW w:w="45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4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老厂镇</w:t>
            </w:r>
          </w:p>
        </w:tc>
        <w:tc>
          <w:tcPr>
            <w:tcW w:w="5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富源县农业农村局</w:t>
            </w:r>
          </w:p>
        </w:tc>
        <w:tc>
          <w:tcPr>
            <w:tcW w:w="57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乡村建设行动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农村人居环境整治</w:t>
            </w:r>
          </w:p>
        </w:tc>
        <w:tc>
          <w:tcPr>
            <w:tcW w:w="8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农村污水处理、垃圾治理及村容村貌提升</w:t>
            </w:r>
          </w:p>
        </w:tc>
        <w:tc>
          <w:tcPr>
            <w:tcW w:w="116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黑克村委会迤发姑村人居环境整治提升工程</w:t>
            </w:r>
          </w:p>
        </w:tc>
        <w:tc>
          <w:tcPr>
            <w:tcW w:w="76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新建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黑克村委会迤发姑村</w:t>
            </w:r>
          </w:p>
        </w:tc>
        <w:tc>
          <w:tcPr>
            <w:tcW w:w="7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老厂镇人民政府</w:t>
            </w:r>
          </w:p>
        </w:tc>
        <w:tc>
          <w:tcPr>
            <w:tcW w:w="231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新建规格为80</w:t>
            </w:r>
            <w:r>
              <w:rPr>
                <w:rStyle w:val="12"/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 w:bidi="ar"/>
              </w:rPr>
              <w:t>㎝</w:t>
            </w:r>
            <w:r>
              <w:rPr>
                <w:rStyle w:val="11"/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 w:bidi="ar"/>
              </w:rPr>
              <w:t>×100</w:t>
            </w:r>
            <w:r>
              <w:rPr>
                <w:rStyle w:val="12"/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 w:bidi="ar"/>
              </w:rPr>
              <w:t>㎝</w:t>
            </w:r>
            <w:r>
              <w:rPr>
                <w:rStyle w:val="11"/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 w:bidi="ar"/>
              </w:rPr>
              <w:t>的三面光排污沟渠，安装110＃PVC塑料管排污管网，改造污水处理氧化塘2个，村容村貌提升等内容。</w:t>
            </w:r>
          </w:p>
        </w:tc>
        <w:tc>
          <w:tcPr>
            <w:tcW w:w="5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68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47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1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项目建成后，村庄基础设施服务功能进一步完善，村庄环境卫生得到提升，群众生产生活水平明显提高。覆盖受益人口68户305人，其中：脱贫户和监测对象户12户52人。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2023年6月</w:t>
            </w:r>
          </w:p>
        </w:tc>
        <w:tc>
          <w:tcPr>
            <w:tcW w:w="85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2023年12月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7" w:hRule="atLeast"/>
          <w:jc w:val="center"/>
        </w:trPr>
        <w:tc>
          <w:tcPr>
            <w:tcW w:w="45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4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十八连山镇</w:t>
            </w:r>
          </w:p>
        </w:tc>
        <w:tc>
          <w:tcPr>
            <w:tcW w:w="5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富源县农业农村局</w:t>
            </w:r>
          </w:p>
        </w:tc>
        <w:tc>
          <w:tcPr>
            <w:tcW w:w="57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乡村建设行动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农村人居环境整治</w:t>
            </w:r>
          </w:p>
        </w:tc>
        <w:tc>
          <w:tcPr>
            <w:tcW w:w="8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污水治理</w:t>
            </w:r>
          </w:p>
        </w:tc>
        <w:tc>
          <w:tcPr>
            <w:tcW w:w="116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补羊村委会小细白村污水治理工程</w:t>
            </w:r>
          </w:p>
        </w:tc>
        <w:tc>
          <w:tcPr>
            <w:tcW w:w="76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新建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补羊村委会小细白村</w:t>
            </w:r>
          </w:p>
        </w:tc>
        <w:tc>
          <w:tcPr>
            <w:tcW w:w="7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十八连山镇人民政府</w:t>
            </w:r>
          </w:p>
        </w:tc>
        <w:tc>
          <w:tcPr>
            <w:tcW w:w="231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新建规格为3方三格化粪池5个，20方尾水收集池1个，安装110＃PVC塑料管排污管网</w:t>
            </w:r>
            <w:r>
              <w:rPr>
                <w:rStyle w:val="11"/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 w:bidi="ar"/>
              </w:rPr>
              <w:t>。</w:t>
            </w:r>
          </w:p>
        </w:tc>
        <w:tc>
          <w:tcPr>
            <w:tcW w:w="5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68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47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1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项目建成后，村庄基础设施服务功能进一步完善，村庄环境卫生进一步改善，群众生产生活水平明显提高，项目覆盖、联农带农232户950人。其中：脱贫户和监测对象户19户103人。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2023年6月</w:t>
            </w:r>
          </w:p>
        </w:tc>
        <w:tc>
          <w:tcPr>
            <w:tcW w:w="85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2023年12月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64" w:hRule="atLeast"/>
          <w:jc w:val="center"/>
        </w:trPr>
        <w:tc>
          <w:tcPr>
            <w:tcW w:w="45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4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营上镇</w:t>
            </w:r>
          </w:p>
        </w:tc>
        <w:tc>
          <w:tcPr>
            <w:tcW w:w="5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富源县农业农村局</w:t>
            </w:r>
          </w:p>
        </w:tc>
        <w:tc>
          <w:tcPr>
            <w:tcW w:w="57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乡村建设行动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农村人居环境整治</w:t>
            </w:r>
          </w:p>
        </w:tc>
        <w:tc>
          <w:tcPr>
            <w:tcW w:w="8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农村污水、垃圾治理及村容村貌提升项目</w:t>
            </w:r>
          </w:p>
        </w:tc>
        <w:tc>
          <w:tcPr>
            <w:tcW w:w="116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岩头村委会则黑村人居环境整治工程</w:t>
            </w:r>
          </w:p>
        </w:tc>
        <w:tc>
          <w:tcPr>
            <w:tcW w:w="76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新建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则黑村</w:t>
            </w:r>
          </w:p>
        </w:tc>
        <w:tc>
          <w:tcPr>
            <w:tcW w:w="7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营上镇人民政府</w:t>
            </w:r>
          </w:p>
        </w:tc>
        <w:tc>
          <w:tcPr>
            <w:tcW w:w="231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购买垃圾箱3个，垃圾钩臂车1辆，新建公厕4座。</w:t>
            </w:r>
          </w:p>
        </w:tc>
        <w:tc>
          <w:tcPr>
            <w:tcW w:w="5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68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47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1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项目建成后，全村282户1298人人居环境得到改善提升，垃圾得到有效治理，其中：脱贫户及三类监测对象户39户156人。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2023年6月</w:t>
            </w:r>
          </w:p>
        </w:tc>
        <w:tc>
          <w:tcPr>
            <w:tcW w:w="85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2023年12月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22" w:hRule="atLeast"/>
          <w:jc w:val="center"/>
        </w:trPr>
        <w:tc>
          <w:tcPr>
            <w:tcW w:w="45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4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古敢乡</w:t>
            </w:r>
          </w:p>
        </w:tc>
        <w:tc>
          <w:tcPr>
            <w:tcW w:w="5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富源县农业农村局</w:t>
            </w:r>
          </w:p>
        </w:tc>
        <w:tc>
          <w:tcPr>
            <w:tcW w:w="57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乡村建设行动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农村人居环境整治</w:t>
            </w:r>
          </w:p>
        </w:tc>
        <w:tc>
          <w:tcPr>
            <w:tcW w:w="8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污水治理</w:t>
            </w:r>
          </w:p>
        </w:tc>
        <w:tc>
          <w:tcPr>
            <w:tcW w:w="116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补掌村委会都章村污水治理工程</w:t>
            </w:r>
          </w:p>
        </w:tc>
        <w:tc>
          <w:tcPr>
            <w:tcW w:w="76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新建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古敢乡补掌村委会都章村</w:t>
            </w:r>
          </w:p>
        </w:tc>
        <w:tc>
          <w:tcPr>
            <w:tcW w:w="7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古敢乡人民政府</w:t>
            </w:r>
          </w:p>
        </w:tc>
        <w:tc>
          <w:tcPr>
            <w:tcW w:w="231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新建规格为80</w:t>
            </w:r>
            <w:r>
              <w:rPr>
                <w:rStyle w:val="12"/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 w:bidi="ar"/>
              </w:rPr>
              <w:t>㎝</w:t>
            </w:r>
            <w:r>
              <w:rPr>
                <w:rStyle w:val="11"/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 w:bidi="ar"/>
              </w:rPr>
              <w:t>×100</w:t>
            </w:r>
            <w:r>
              <w:rPr>
                <w:rStyle w:val="12"/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 w:bidi="ar"/>
              </w:rPr>
              <w:t>㎝</w:t>
            </w:r>
            <w:r>
              <w:rPr>
                <w:rStyle w:val="11"/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 w:bidi="ar"/>
              </w:rPr>
              <w:t>的三面光排污沟渠，安装110＃PVC塑料管排污管网，改造污水处理氧化塘4个。</w:t>
            </w:r>
          </w:p>
        </w:tc>
        <w:tc>
          <w:tcPr>
            <w:tcW w:w="5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68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47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1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项目建成后，村庄基础设施服务功能进一步完善，村庄环境卫生进一步改善，群众生产生活水平明显提高。覆盖受益人口129户516人，其中：脱贫户和监测对象户15户71人。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2023年6月</w:t>
            </w:r>
          </w:p>
        </w:tc>
        <w:tc>
          <w:tcPr>
            <w:tcW w:w="85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2023年12月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93" w:hRule="atLeast"/>
          <w:jc w:val="center"/>
        </w:trPr>
        <w:tc>
          <w:tcPr>
            <w:tcW w:w="45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4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富村镇</w:t>
            </w:r>
          </w:p>
        </w:tc>
        <w:tc>
          <w:tcPr>
            <w:tcW w:w="5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富源县农业农村局</w:t>
            </w:r>
          </w:p>
        </w:tc>
        <w:tc>
          <w:tcPr>
            <w:tcW w:w="57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乡村建设行动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农村人居环境整治</w:t>
            </w:r>
          </w:p>
        </w:tc>
        <w:tc>
          <w:tcPr>
            <w:tcW w:w="8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污水治理</w:t>
            </w:r>
          </w:p>
        </w:tc>
        <w:tc>
          <w:tcPr>
            <w:tcW w:w="116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富村镇富村居委会富村村污水处理工程</w:t>
            </w:r>
          </w:p>
        </w:tc>
        <w:tc>
          <w:tcPr>
            <w:tcW w:w="76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新建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富村居委会</w:t>
            </w:r>
          </w:p>
        </w:tc>
        <w:tc>
          <w:tcPr>
            <w:tcW w:w="7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富村镇</w:t>
            </w:r>
          </w:p>
        </w:tc>
        <w:tc>
          <w:tcPr>
            <w:tcW w:w="231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挖污水应急沟，清除淤泥，建挡墙、反拱。</w:t>
            </w:r>
          </w:p>
        </w:tc>
        <w:tc>
          <w:tcPr>
            <w:tcW w:w="5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68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47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1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项目建成后，村庄基础设施服务功能进一步完善，村庄环境卫生进一步改善，群众生产生活水平明显提高。受益村4个</w:t>
            </w:r>
            <w:r>
              <w:rPr>
                <w:rFonts w:hint="eastAsia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，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覆盖服务533户2400人</w:t>
            </w:r>
            <w:r>
              <w:rPr>
                <w:rFonts w:hint="eastAsia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，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其中：脱贫户、监测对象户37户168人。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2023年6月</w:t>
            </w:r>
          </w:p>
        </w:tc>
        <w:tc>
          <w:tcPr>
            <w:tcW w:w="85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2023年12月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  <w:rPr>
          <w:rFonts w:hint="eastAsia"/>
          <w:lang w:eastAsia="zh-CN"/>
        </w:rPr>
        <w:sectPr>
          <w:footerReference r:id="rId5" w:type="default"/>
          <w:footerReference r:id="rId6" w:type="even"/>
          <w:pgSz w:w="16838" w:h="11906" w:orient="landscape"/>
          <w:pgMar w:top="1587" w:right="1757" w:bottom="1587" w:left="1757" w:header="1134" w:footer="113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0" w:num="1"/>
          <w:rtlGutter w:val="0"/>
          <w:docGrid w:type="linesAndChars" w:linePitch="623" w:charSpace="-1668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firstLine="624" w:firstLineChars="200"/>
        <w:textAlignment w:val="auto"/>
        <w:rPr>
          <w:rFonts w:hint="eastAsia"/>
          <w:lang w:eastAsia="zh-CN"/>
        </w:rPr>
      </w:pPr>
      <w:bookmarkStart w:id="0" w:name="_GoBack"/>
      <w:bookmarkEnd w:id="0"/>
    </w:p>
    <w:sectPr>
      <w:footerReference r:id="rId7" w:type="default"/>
      <w:footerReference r:id="rId8" w:type="even"/>
      <w:pgSz w:w="11906" w:h="16838"/>
      <w:pgMar w:top="1871" w:right="1587" w:bottom="1757" w:left="1587" w:header="1134" w:footer="1134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AndChars" w:linePitch="600" w:charSpace="-16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ordWrap w:val="0"/>
      <w:jc w:val="right"/>
      <w:rPr>
        <w:rFonts w:hint="default"/>
        <w:lang w:val="en-US" w:eastAsia="zh-CN"/>
      </w:rPr>
    </w:pPr>
    <w:r>
      <w:rPr>
        <w:rFonts w:hint="eastAsia"/>
        <w:sz w:val="28"/>
        <w:szCs w:val="28"/>
        <w:lang w:val="en-US" w:eastAsia="zh-CN"/>
      </w:rPr>
      <w:t xml:space="preserve">—  </w:t>
    </w:r>
    <w:r>
      <w:rPr>
        <w:rFonts w:hint="eastAsia"/>
        <w:sz w:val="28"/>
        <w:szCs w:val="28"/>
        <w:lang w:val="en-US" w:eastAsia="zh-CN"/>
      </w:rPr>
      <w:fldChar w:fldCharType="begin"/>
    </w:r>
    <w:r>
      <w:rPr>
        <w:rFonts w:hint="eastAsia"/>
        <w:sz w:val="28"/>
        <w:szCs w:val="28"/>
        <w:lang w:val="en-US" w:eastAsia="zh-CN"/>
      </w:rPr>
      <w:instrText xml:space="preserve"> PAGE \* MERGEFORMAT </w:instrText>
    </w:r>
    <w:r>
      <w:rPr>
        <w:rFonts w:hint="eastAsia"/>
        <w:sz w:val="28"/>
        <w:szCs w:val="28"/>
        <w:lang w:val="en-US" w:eastAsia="zh-CN"/>
      </w:rPr>
      <w:fldChar w:fldCharType="separate"/>
    </w:r>
    <w:r>
      <w:rPr>
        <w:rFonts w:hint="eastAsia"/>
        <w:sz w:val="28"/>
        <w:szCs w:val="28"/>
        <w:lang w:val="en-US" w:eastAsia="zh-CN"/>
      </w:rPr>
      <w:t>1</w:t>
    </w:r>
    <w:r>
      <w:rPr>
        <w:rFonts w:hint="eastAsia"/>
        <w:sz w:val="28"/>
        <w:szCs w:val="28"/>
        <w:lang w:val="en-US" w:eastAsia="zh-CN"/>
      </w:rPr>
      <w:fldChar w:fldCharType="end"/>
    </w:r>
    <w:r>
      <w:rPr>
        <w:rFonts w:hint="eastAsia"/>
        <w:sz w:val="28"/>
        <w:szCs w:val="28"/>
        <w:lang w:val="en-US" w:eastAsia="zh-CN"/>
      </w:rPr>
      <w:t xml:space="preserve">  —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280" w:firstLineChars="100"/>
      <w:rPr>
        <w:rFonts w:hint="eastAsia"/>
        <w:lang w:eastAsia="zh-CN"/>
      </w:rPr>
    </w:pPr>
    <w:r>
      <w:rPr>
        <w:rFonts w:hint="eastAsia"/>
        <w:sz w:val="28"/>
        <w:szCs w:val="28"/>
        <w:lang w:eastAsia="zh-CN"/>
      </w:rPr>
      <w:t>—</w:t>
    </w:r>
    <w:r>
      <w:rPr>
        <w:rFonts w:hint="eastAsia"/>
        <w:sz w:val="28"/>
        <w:szCs w:val="28"/>
        <w:lang w:val="en-US" w:eastAsia="zh-CN"/>
      </w:rPr>
      <w:t xml:space="preserve">  </w:t>
    </w:r>
    <w:r>
      <w:rPr>
        <w:rFonts w:hint="eastAsia"/>
        <w:sz w:val="28"/>
        <w:szCs w:val="28"/>
        <w:lang w:val="en-US" w:eastAsia="zh-CN"/>
      </w:rPr>
      <w:fldChar w:fldCharType="begin"/>
    </w:r>
    <w:r>
      <w:rPr>
        <w:rFonts w:hint="eastAsia"/>
        <w:sz w:val="28"/>
        <w:szCs w:val="28"/>
        <w:lang w:val="en-US" w:eastAsia="zh-CN"/>
      </w:rPr>
      <w:instrText xml:space="preserve"> PAGE \* MERGEFORMAT </w:instrText>
    </w:r>
    <w:r>
      <w:rPr>
        <w:rFonts w:hint="eastAsia"/>
        <w:sz w:val="28"/>
        <w:szCs w:val="28"/>
        <w:lang w:val="en-US" w:eastAsia="zh-CN"/>
      </w:rPr>
      <w:fldChar w:fldCharType="separate"/>
    </w:r>
    <w:r>
      <w:rPr>
        <w:rFonts w:hint="eastAsia"/>
        <w:sz w:val="28"/>
        <w:szCs w:val="28"/>
        <w:lang w:val="en-US" w:eastAsia="zh-CN"/>
      </w:rPr>
      <w:t>2</w:t>
    </w:r>
    <w:r>
      <w:rPr>
        <w:rFonts w:hint="eastAsia"/>
        <w:sz w:val="28"/>
        <w:szCs w:val="28"/>
        <w:lang w:val="en-US" w:eastAsia="zh-CN"/>
      </w:rPr>
      <w:fldChar w:fldCharType="end"/>
    </w:r>
    <w:r>
      <w:rPr>
        <w:rFonts w:hint="eastAsia"/>
        <w:sz w:val="28"/>
        <w:szCs w:val="28"/>
        <w:lang w:val="en-US" w:eastAsia="zh-CN"/>
      </w:rPr>
      <w:t xml:space="preserve">  </w:t>
    </w:r>
    <w:r>
      <w:rPr>
        <w:rFonts w:hint="eastAsia"/>
        <w:sz w:val="28"/>
        <w:szCs w:val="28"/>
        <w:lang w:eastAsia="zh-CN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ordWrap/>
      <w:ind w:left="0" w:leftChars="0" w:right="0" w:rightChars="0" w:firstLine="0" w:firstLineChars="0"/>
      <w:jc w:val="center"/>
      <w:rPr>
        <w:rFonts w:hint="default"/>
        <w:lang w:val="en-US" w:eastAsia="zh-CN"/>
      </w:rPr>
    </w:pPr>
    <w:r>
      <w:rPr>
        <w:rFonts w:hint="eastAsia"/>
        <w:sz w:val="28"/>
        <w:szCs w:val="28"/>
        <w:lang w:val="en-US" w:eastAsia="zh-CN"/>
      </w:rPr>
      <w:t xml:space="preserve">—  </w:t>
    </w:r>
    <w:r>
      <w:rPr>
        <w:rFonts w:hint="eastAsia"/>
        <w:sz w:val="28"/>
        <w:szCs w:val="28"/>
        <w:lang w:val="en-US" w:eastAsia="zh-CN"/>
      </w:rPr>
      <w:fldChar w:fldCharType="begin"/>
    </w:r>
    <w:r>
      <w:rPr>
        <w:rFonts w:hint="eastAsia"/>
        <w:sz w:val="28"/>
        <w:szCs w:val="28"/>
        <w:lang w:val="en-US" w:eastAsia="zh-CN"/>
      </w:rPr>
      <w:instrText xml:space="preserve"> PAGE \* MERGEFORMAT </w:instrText>
    </w:r>
    <w:r>
      <w:rPr>
        <w:rFonts w:hint="eastAsia"/>
        <w:sz w:val="28"/>
        <w:szCs w:val="28"/>
        <w:lang w:val="en-US" w:eastAsia="zh-CN"/>
      </w:rPr>
      <w:fldChar w:fldCharType="separate"/>
    </w:r>
    <w:r>
      <w:rPr>
        <w:rFonts w:hint="eastAsia"/>
        <w:sz w:val="28"/>
        <w:szCs w:val="28"/>
        <w:lang w:val="en-US" w:eastAsia="zh-CN"/>
      </w:rPr>
      <w:t>1</w:t>
    </w:r>
    <w:r>
      <w:rPr>
        <w:rFonts w:hint="eastAsia"/>
        <w:sz w:val="28"/>
        <w:szCs w:val="28"/>
        <w:lang w:val="en-US" w:eastAsia="zh-CN"/>
      </w:rPr>
      <w:fldChar w:fldCharType="end"/>
    </w:r>
    <w:r>
      <w:rPr>
        <w:rFonts w:hint="eastAsia"/>
        <w:sz w:val="28"/>
        <w:szCs w:val="28"/>
        <w:lang w:val="en-US" w:eastAsia="zh-CN"/>
      </w:rPr>
      <w:t xml:space="preserve">  —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0" w:leftChars="0" w:right="0" w:rightChars="0" w:firstLine="0" w:firstLineChars="0"/>
      <w:jc w:val="center"/>
      <w:rPr>
        <w:rFonts w:hint="eastAsia"/>
        <w:lang w:eastAsia="zh-CN"/>
      </w:rPr>
    </w:pPr>
    <w:r>
      <w:rPr>
        <w:rFonts w:hint="eastAsia"/>
        <w:sz w:val="28"/>
        <w:szCs w:val="28"/>
        <w:lang w:eastAsia="zh-CN"/>
      </w:rPr>
      <w:t>—</w:t>
    </w:r>
    <w:r>
      <w:rPr>
        <w:rFonts w:hint="eastAsia"/>
        <w:sz w:val="28"/>
        <w:szCs w:val="28"/>
        <w:lang w:val="en-US" w:eastAsia="zh-CN"/>
      </w:rPr>
      <w:t xml:space="preserve">  </w:t>
    </w:r>
    <w:r>
      <w:rPr>
        <w:rFonts w:hint="eastAsia"/>
        <w:sz w:val="28"/>
        <w:szCs w:val="28"/>
        <w:lang w:val="en-US" w:eastAsia="zh-CN"/>
      </w:rPr>
      <w:fldChar w:fldCharType="begin"/>
    </w:r>
    <w:r>
      <w:rPr>
        <w:rFonts w:hint="eastAsia"/>
        <w:sz w:val="28"/>
        <w:szCs w:val="28"/>
        <w:lang w:val="en-US" w:eastAsia="zh-CN"/>
      </w:rPr>
      <w:instrText xml:space="preserve"> PAGE \* MERGEFORMAT </w:instrText>
    </w:r>
    <w:r>
      <w:rPr>
        <w:rFonts w:hint="eastAsia"/>
        <w:sz w:val="28"/>
        <w:szCs w:val="28"/>
        <w:lang w:val="en-US" w:eastAsia="zh-CN"/>
      </w:rPr>
      <w:fldChar w:fldCharType="separate"/>
    </w:r>
    <w:r>
      <w:rPr>
        <w:rFonts w:hint="eastAsia"/>
        <w:sz w:val="28"/>
        <w:szCs w:val="28"/>
        <w:lang w:val="en-US" w:eastAsia="zh-CN"/>
      </w:rPr>
      <w:t>2</w:t>
    </w:r>
    <w:r>
      <w:rPr>
        <w:rFonts w:hint="eastAsia"/>
        <w:sz w:val="28"/>
        <w:szCs w:val="28"/>
        <w:lang w:val="en-US" w:eastAsia="zh-CN"/>
      </w:rPr>
      <w:fldChar w:fldCharType="end"/>
    </w:r>
    <w:r>
      <w:rPr>
        <w:rFonts w:hint="eastAsia"/>
        <w:sz w:val="28"/>
        <w:szCs w:val="28"/>
        <w:lang w:val="en-US" w:eastAsia="zh-CN"/>
      </w:rPr>
      <w:t xml:space="preserve">  </w:t>
    </w:r>
    <w:r>
      <w:rPr>
        <w:rFonts w:hint="eastAsia"/>
        <w:sz w:val="28"/>
        <w:szCs w:val="28"/>
        <w:lang w:eastAsia="zh-CN"/>
      </w:rPr>
      <w:t>—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/>
        <w:lang w:val="en-US" w:eastAsia="zh-CN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0" w:leftChars="0" w:right="0" w:rightChars="0" w:firstLine="0" w:firstLineChars="0"/>
      <w:jc w:val="center"/>
      <w:rPr>
        <w:rFonts w:hint="eastAsia"/>
        <w:lang w:eastAsia="zh-C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evenAndOddHeaders w:val="1"/>
  <w:drawingGridVerticalSpacing w:val="311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1A3AEC"/>
    <w:rsid w:val="1AAD0EF5"/>
    <w:rsid w:val="1F8C3283"/>
    <w:rsid w:val="21CE0271"/>
    <w:rsid w:val="224471CA"/>
    <w:rsid w:val="227479ED"/>
    <w:rsid w:val="2C1A3AEC"/>
    <w:rsid w:val="30E10ADE"/>
    <w:rsid w:val="51B47E07"/>
    <w:rsid w:val="607207DA"/>
    <w:rsid w:val="6BA2595C"/>
    <w:rsid w:val="6D41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theme="minorBidi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200" w:firstLineChars="200"/>
    </w:pPr>
    <w:rPr>
      <w:rFonts w:ascii="宋体" w:hAnsi="宋体" w:cs="宋体"/>
      <w:sz w:val="28"/>
      <w:szCs w:val="2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font51"/>
    <w:basedOn w:val="7"/>
    <w:qFormat/>
    <w:uiPriority w:val="0"/>
    <w:rPr>
      <w:rFonts w:hint="eastAsia" w:ascii="黑体" w:hAnsi="宋体" w:eastAsia="黑体" w:cs="黑体"/>
      <w:color w:val="000000"/>
      <w:sz w:val="16"/>
      <w:szCs w:val="16"/>
      <w:u w:val="none"/>
    </w:rPr>
  </w:style>
  <w:style w:type="character" w:customStyle="1" w:styleId="9">
    <w:name w:val="font71"/>
    <w:basedOn w:val="7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0">
    <w:name w:val="font31"/>
    <w:basedOn w:val="7"/>
    <w:qFormat/>
    <w:uiPriority w:val="0"/>
    <w:rPr>
      <w:rFonts w:hint="eastAsia" w:ascii="黑体" w:hAnsi="宋体" w:eastAsia="黑体" w:cs="黑体"/>
      <w:color w:val="000000"/>
      <w:sz w:val="20"/>
      <w:szCs w:val="20"/>
      <w:u w:val="none"/>
    </w:rPr>
  </w:style>
  <w:style w:type="character" w:customStyle="1" w:styleId="11">
    <w:name w:val="font91"/>
    <w:basedOn w:val="7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  <w:style w:type="character" w:customStyle="1" w:styleId="12">
    <w:name w:val="font6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6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曲靖市富源县党政机关单位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2023-06-13T01:04:00Z</dcterms:created>
  <dc:creator>富源县人民政府办公室文印室</dc:creator>
  <cp:lastModifiedBy>阿瑾呀</cp:lastModifiedBy>
  <cp:lastPrinted>2023-06-16T03:53:00Z</cp:lastPrinted>
  <dcterms:modified xsi:type="dcterms:W3CDTF">2023-08-10T03:29:12Z</dcterms:modified>
  <dc:title>富政复〔2023〕94号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603139916B234F60BD32C4F74B288001</vt:lpwstr>
  </property>
</Properties>
</file>